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F5DF1">
        <w:rPr>
          <w:i/>
          <w:sz w:val="22"/>
          <w:szCs w:val="22"/>
        </w:rPr>
        <w:t>Monica Sbrana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EF5DF1">
        <w:rPr>
          <w:i/>
          <w:sz w:val="22"/>
          <w:szCs w:val="22"/>
        </w:rPr>
        <w:t xml:space="preserve">Valentina </w:t>
      </w:r>
      <w:proofErr w:type="spellStart"/>
      <w:r w:rsidR="00EF5DF1">
        <w:rPr>
          <w:i/>
          <w:sz w:val="22"/>
          <w:szCs w:val="22"/>
        </w:rPr>
        <w:t>Resaz</w:t>
      </w:r>
      <w:proofErr w:type="spellEnd"/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EF5DF1">
        <w:rPr>
          <w:i/>
          <w:sz w:val="22"/>
          <w:szCs w:val="22"/>
        </w:rPr>
        <w:t>procedura comparativa n. 2/2019</w:t>
      </w:r>
      <w:bookmarkStart w:id="0" w:name="_GoBack"/>
      <w:bookmarkEnd w:id="0"/>
    </w:p>
    <w:p w:rsidR="003F3A51" w:rsidRDefault="003F3A51" w:rsidP="00D548F3">
      <w:pPr>
        <w:spacing w:after="120"/>
        <w:contextualSpacing/>
        <w:jc w:val="both"/>
        <w:rPr>
          <w:sz w:val="22"/>
          <w:szCs w:val="22"/>
        </w:rPr>
      </w:pPr>
    </w:p>
    <w:tbl>
      <w:tblPr>
        <w:tblW w:w="10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5"/>
      </w:tblGrid>
      <w:tr w:rsidR="00D548F3" w:rsidRPr="00760DA4" w:rsidTr="00FC7B08">
        <w:trPr>
          <w:cantSplit/>
          <w:trHeight w:val="81"/>
        </w:trPr>
        <w:tc>
          <w:tcPr>
            <w:tcW w:w="10605" w:type="dxa"/>
            <w:hideMark/>
          </w:tcPr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A: </w:t>
            </w:r>
          </w:p>
        </w:tc>
      </w:tr>
      <w:tr w:rsidR="00D548F3" w:rsidRPr="00E94B9C" w:rsidTr="00FC7B08">
        <w:trPr>
          <w:trHeight w:val="92"/>
        </w:trPr>
        <w:tc>
          <w:tcPr>
            <w:tcW w:w="10605" w:type="dxa"/>
          </w:tcPr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Area </w:t>
            </w:r>
            <w:r>
              <w:rPr>
                <w:sz w:val="22"/>
                <w:szCs w:val="22"/>
              </w:rPr>
              <w:t>apprendimento permanente e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orientamento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EF5DF1">
              <w:rPr>
                <w:sz w:val="22"/>
                <w:szCs w:val="22"/>
              </w:rPr>
              <w:t>Servizio</w:t>
            </w:r>
            <w:r w:rsidRPr="00D548F3">
              <w:rPr>
                <w:sz w:val="22"/>
                <w:szCs w:val="22"/>
              </w:rPr>
              <w:t xml:space="preserve"> </w:t>
            </w:r>
            <w:r w:rsidR="00EF5DF1">
              <w:rPr>
                <w:sz w:val="22"/>
                <w:szCs w:val="22"/>
              </w:rPr>
              <w:t>Apprendimento permanente</w:t>
            </w:r>
          </w:p>
          <w:p w:rsidR="00D548F3" w:rsidRPr="00D548F3" w:rsidRDefault="00D548F3" w:rsidP="00EF5DF1">
            <w:pPr>
              <w:spacing w:after="120"/>
              <w:ind w:left="5664" w:firstLine="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Piazza della Nunziata 6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16124, </w:t>
            </w:r>
            <w:r w:rsidRPr="00D548F3">
              <w:rPr>
                <w:sz w:val="22"/>
                <w:szCs w:val="22"/>
              </w:rPr>
              <w:t>Genova</w:t>
            </w:r>
          </w:p>
        </w:tc>
      </w:tr>
    </w:tbl>
    <w:p w:rsidR="00D548F3" w:rsidRPr="00886B62" w:rsidRDefault="00D548F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EF5DF1" w:rsidRPr="00EF5DF1" w:rsidRDefault="003F3A51" w:rsidP="003F3A51">
      <w:pPr>
        <w:spacing w:after="120"/>
        <w:jc w:val="both"/>
        <w:rPr>
          <w:b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autonomo, avente ad oggetto attività </w:t>
      </w:r>
      <w:r w:rsidR="00EF5DF1">
        <w:rPr>
          <w:sz w:val="22"/>
          <w:szCs w:val="22"/>
        </w:rPr>
        <w:t>di</w:t>
      </w:r>
      <w:r w:rsidR="00EF5DF1" w:rsidRPr="00EF5DF1">
        <w:rPr>
          <w:sz w:val="22"/>
          <w:szCs w:val="22"/>
        </w:rPr>
        <w:t xml:space="preserve"> </w:t>
      </w:r>
      <w:r w:rsidR="00EF5DF1" w:rsidRPr="00EF5DF1">
        <w:rPr>
          <w:b/>
          <w:sz w:val="22"/>
          <w:szCs w:val="22"/>
        </w:rPr>
        <w:t xml:space="preserve">assistenza alla didattica, coordinamento e </w:t>
      </w:r>
      <w:proofErr w:type="spellStart"/>
      <w:r w:rsidR="00EF5DF1" w:rsidRPr="00EF5DF1">
        <w:rPr>
          <w:b/>
          <w:sz w:val="22"/>
          <w:szCs w:val="22"/>
        </w:rPr>
        <w:t>tutorship</w:t>
      </w:r>
      <w:proofErr w:type="spellEnd"/>
      <w:r w:rsidR="00EF5DF1" w:rsidRPr="00EF5DF1">
        <w:rPr>
          <w:b/>
          <w:sz w:val="22"/>
          <w:szCs w:val="22"/>
        </w:rPr>
        <w:t xml:space="preserve"> per il corso INPS VALORE PA “Sviluppare capacità di leadership: il coordinamento dei gruppi di lavoro quale strumento di management dei contesti organizzativi”.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D548F3">
        <w:rPr>
          <w:sz w:val="22"/>
          <w:szCs w:val="22"/>
        </w:rPr>
        <w:t>di un</w:t>
      </w:r>
      <w:r w:rsidR="005549AC">
        <w:rPr>
          <w:sz w:val="22"/>
          <w:szCs w:val="22"/>
        </w:rPr>
        <w:t xml:space="preserve"> Dipartimento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B04B46" w:rsidP="005549AC">
      <w:pPr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="003F3A51" w:rsidRPr="00886B62">
        <w:rPr>
          <w:sz w:val="22"/>
          <w:szCs w:val="22"/>
        </w:rPr>
        <w:t>………..</w:t>
      </w:r>
    </w:p>
    <w:p w:rsidR="003F3A51" w:rsidRPr="00886B62" w:rsidRDefault="00B04B46" w:rsidP="00B04B4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="003F3A51"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r w:rsidR="009E1F24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B04B46" w:rsidRDefault="003F3A51" w:rsidP="00EF5DF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  <w:r w:rsidRPr="00B04B46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 w:rsidR="00B04B46">
        <w:rPr>
          <w:sz w:val="22"/>
          <w:szCs w:val="22"/>
        </w:rPr>
        <w:t xml:space="preserve">l’Area Apprendimento permanente e orientamento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B6D3F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3B6D3F">
        <w:rPr>
          <w:sz w:val="22"/>
          <w:szCs w:val="22"/>
        </w:rPr>
        <w:t>……………………</w:t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proofErr w:type="gramStart"/>
      <w:r w:rsidR="003B6D3F">
        <w:rPr>
          <w:sz w:val="22"/>
          <w:szCs w:val="22"/>
        </w:rPr>
        <w:t>Firma  …</w:t>
      </w:r>
      <w:proofErr w:type="gramEnd"/>
      <w:r w:rsidR="003B6D3F">
        <w:rPr>
          <w:sz w:val="22"/>
          <w:szCs w:val="22"/>
        </w:rPr>
        <w:t>…………………………….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 xml:space="preserve">MODELLO  </w:t>
      </w:r>
      <w:r w:rsidR="003B6D3F">
        <w:rPr>
          <w:b/>
          <w:sz w:val="22"/>
          <w:szCs w:val="22"/>
        </w:rPr>
        <w:t>“</w:t>
      </w:r>
      <w:proofErr w:type="gramEnd"/>
      <w:r w:rsidRPr="00886B62">
        <w:rPr>
          <w:b/>
          <w:sz w:val="22"/>
          <w:szCs w:val="22"/>
        </w:rPr>
        <w:t>B</w:t>
      </w:r>
      <w:r w:rsidR="003B6D3F">
        <w:rPr>
          <w:b/>
          <w:sz w:val="22"/>
          <w:szCs w:val="22"/>
        </w:rPr>
        <w:t>”</w:t>
      </w:r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B6D3F" w:rsidP="003B6D3F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3F3A51" w:rsidRPr="00886B62">
        <w:rPr>
          <w:sz w:val="22"/>
          <w:szCs w:val="22"/>
        </w:rPr>
        <w:t>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B6D3F" w:rsidRDefault="003F3A51" w:rsidP="003F3A51">
      <w:pPr>
        <w:pStyle w:val="sche22"/>
        <w:jc w:val="center"/>
        <w:rPr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</w:p>
    <w:p w:rsidR="003B6D3F" w:rsidRDefault="003B6D3F" w:rsidP="003B6D3F">
      <w:pPr>
        <w:rPr>
          <w:sz w:val="20"/>
          <w:szCs w:val="20"/>
        </w:rPr>
      </w:pPr>
    </w:p>
    <w:p w:rsidR="003B6D3F" w:rsidRDefault="003B6D3F" w:rsidP="003B6D3F">
      <w:pPr>
        <w:pStyle w:val="sche22"/>
        <w:jc w:val="left"/>
        <w:rPr>
          <w:sz w:val="22"/>
          <w:szCs w:val="22"/>
          <w:lang w:val="it-IT"/>
        </w:rPr>
      </w:pPr>
    </w:p>
    <w:p w:rsidR="003B6D3F" w:rsidRDefault="003B6D3F" w:rsidP="003F3A51">
      <w:pPr>
        <w:pStyle w:val="sche22"/>
        <w:jc w:val="center"/>
        <w:rPr>
          <w:sz w:val="22"/>
          <w:szCs w:val="22"/>
          <w:lang w:val="it-IT"/>
        </w:rPr>
      </w:pP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40" w:rsidRDefault="00852D40">
      <w:r>
        <w:separator/>
      </w:r>
    </w:p>
  </w:endnote>
  <w:endnote w:type="continuationSeparator" w:id="0">
    <w:p w:rsidR="00852D40" w:rsidRDefault="008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EF5DF1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5DF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EF5DF1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40" w:rsidRDefault="00852D40">
      <w:r>
        <w:separator/>
      </w:r>
    </w:p>
  </w:footnote>
  <w:footnote w:type="continuationSeparator" w:id="0">
    <w:p w:rsidR="00852D40" w:rsidRDefault="0085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264540"/>
    <w:rsid w:val="003B6D3F"/>
    <w:rsid w:val="003F3A51"/>
    <w:rsid w:val="005549AC"/>
    <w:rsid w:val="00644B39"/>
    <w:rsid w:val="00785F5B"/>
    <w:rsid w:val="00852D40"/>
    <w:rsid w:val="0099177B"/>
    <w:rsid w:val="009E1F24"/>
    <w:rsid w:val="00A96608"/>
    <w:rsid w:val="00B04B46"/>
    <w:rsid w:val="00C34B62"/>
    <w:rsid w:val="00C91C5D"/>
    <w:rsid w:val="00CC1325"/>
    <w:rsid w:val="00D548F3"/>
    <w:rsid w:val="00E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6264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8F3"/>
    <w:pPr>
      <w:keepNext/>
      <w:tabs>
        <w:tab w:val="left" w:pos="684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548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48F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D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D3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Stefania Serra</cp:lastModifiedBy>
  <cp:revision>7</cp:revision>
  <dcterms:created xsi:type="dcterms:W3CDTF">2019-01-25T07:49:00Z</dcterms:created>
  <dcterms:modified xsi:type="dcterms:W3CDTF">2019-02-18T09:45:00Z</dcterms:modified>
</cp:coreProperties>
</file>