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59" w:rsidRDefault="003F3A51" w:rsidP="000F2E5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0F2E59">
        <w:rPr>
          <w:i/>
          <w:sz w:val="22"/>
          <w:szCs w:val="22"/>
        </w:rPr>
        <w:t>Monica Sbrana</w:t>
      </w:r>
    </w:p>
    <w:p w:rsidR="003F3A51" w:rsidRPr="00886B62" w:rsidRDefault="000F2E59" w:rsidP="000F2E5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3F3A51" w:rsidRPr="0008498C">
        <w:rPr>
          <w:i/>
          <w:sz w:val="22"/>
          <w:szCs w:val="22"/>
        </w:rPr>
        <w:t xml:space="preserve">er informazioni </w:t>
      </w:r>
      <w:r>
        <w:rPr>
          <w:i/>
          <w:sz w:val="22"/>
          <w:szCs w:val="22"/>
        </w:rPr>
        <w:t xml:space="preserve">Alessia </w:t>
      </w:r>
      <w:proofErr w:type="spellStart"/>
      <w:r>
        <w:rPr>
          <w:i/>
          <w:sz w:val="22"/>
          <w:szCs w:val="22"/>
        </w:rPr>
        <w:t>Popia</w:t>
      </w:r>
      <w:proofErr w:type="spellEnd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93644">
        <w:rPr>
          <w:i/>
          <w:sz w:val="22"/>
          <w:szCs w:val="22"/>
        </w:rPr>
        <w:t xml:space="preserve"> 1 del 13</w:t>
      </w:r>
      <w:r w:rsidR="000F2E59">
        <w:rPr>
          <w:i/>
          <w:sz w:val="22"/>
          <w:szCs w:val="22"/>
        </w:rPr>
        <w:t xml:space="preserve">/02/2019 </w:t>
      </w:r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:rsidTr="00FC7B08">
        <w:trPr>
          <w:cantSplit/>
          <w:trHeight w:val="81"/>
        </w:trPr>
        <w:tc>
          <w:tcPr>
            <w:tcW w:w="10605" w:type="dxa"/>
            <w:hideMark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FC7B08">
        <w:trPr>
          <w:trHeight w:val="92"/>
        </w:trPr>
        <w:tc>
          <w:tcPr>
            <w:tcW w:w="10605" w:type="dxa"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Area </w:t>
            </w:r>
            <w:r>
              <w:rPr>
                <w:sz w:val="22"/>
                <w:szCs w:val="22"/>
              </w:rPr>
              <w:t>apprendimento permanente e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orientamento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0F2E59">
              <w:rPr>
                <w:sz w:val="22"/>
                <w:szCs w:val="22"/>
              </w:rPr>
              <w:t>Servizio</w:t>
            </w:r>
            <w:r w:rsidRPr="00D548F3">
              <w:rPr>
                <w:sz w:val="22"/>
                <w:szCs w:val="22"/>
              </w:rPr>
              <w:t xml:space="preserve"> </w:t>
            </w:r>
            <w:r w:rsidR="000F2E59">
              <w:rPr>
                <w:sz w:val="22"/>
                <w:szCs w:val="22"/>
              </w:rPr>
              <w:t>Apprendimento permanente</w:t>
            </w:r>
          </w:p>
          <w:p w:rsidR="00D548F3" w:rsidRPr="00D548F3" w:rsidRDefault="000F2E59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 della Nunziata 2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16124, </w:t>
            </w:r>
            <w:r w:rsidRPr="00D548F3">
              <w:rPr>
                <w:sz w:val="22"/>
                <w:szCs w:val="22"/>
              </w:rPr>
              <w:t>Genova</w:t>
            </w:r>
          </w:p>
        </w:tc>
      </w:tr>
    </w:tbl>
    <w:p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</w:t>
      </w:r>
      <w:bookmarkStart w:id="0" w:name="_GoBack"/>
      <w:bookmarkEnd w:id="0"/>
      <w:r w:rsidRPr="00886B62">
        <w:rPr>
          <w:sz w:val="22"/>
          <w:szCs w:val="22"/>
        </w:rPr>
        <w:t>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0F2E59" w:rsidRPr="000F2E59" w:rsidRDefault="003F3A51" w:rsidP="003F3A51">
      <w:pPr>
        <w:spacing w:after="120"/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autonomo, avente ad oggetto attività </w:t>
      </w:r>
      <w:r w:rsidR="000F2E59">
        <w:rPr>
          <w:sz w:val="22"/>
          <w:szCs w:val="22"/>
        </w:rPr>
        <w:t xml:space="preserve">di </w:t>
      </w:r>
      <w:r w:rsidR="000F2E59" w:rsidRPr="000F2E59">
        <w:rPr>
          <w:b/>
          <w:sz w:val="22"/>
          <w:szCs w:val="22"/>
        </w:rPr>
        <w:t xml:space="preserve">supporto alla didattica nell’ambito del “Corso di formazione e qualificazione FROSIO: formazione di ispettori di collaudo di cicli vernicianti per la protezione dalla corrosione” – XII edizione - </w:t>
      </w:r>
      <w:proofErr w:type="spellStart"/>
      <w:r w:rsidR="000F2E59" w:rsidRPr="000F2E59">
        <w:rPr>
          <w:b/>
          <w:sz w:val="22"/>
          <w:szCs w:val="22"/>
        </w:rPr>
        <w:t>a.a</w:t>
      </w:r>
      <w:proofErr w:type="spellEnd"/>
      <w:r w:rsidR="000F2E59" w:rsidRPr="000F2E59">
        <w:rPr>
          <w:b/>
          <w:sz w:val="22"/>
          <w:szCs w:val="22"/>
        </w:rPr>
        <w:t>. 2018/2019.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 xml:space="preserve">di essere in possesso della </w:t>
      </w:r>
      <w:r w:rsidR="000F2E59">
        <w:rPr>
          <w:sz w:val="22"/>
          <w:szCs w:val="22"/>
        </w:rPr>
        <w:t>qualifica</w:t>
      </w:r>
      <w:r w:rsidR="00C12F06">
        <w:rPr>
          <w:sz w:val="22"/>
          <w:szCs w:val="22"/>
        </w:rPr>
        <w:t xml:space="preserve"> </w:t>
      </w:r>
      <w:r w:rsidR="00C12F06" w:rsidRPr="002E1FC2">
        <w:t>ispettore FROSIO o analoga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Default="003F3A51" w:rsidP="000F2E59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B04B46" w:rsidRDefault="000F2E59" w:rsidP="004D4CDB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3F3A51" w:rsidRPr="00B04B46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 w:rsidR="00B04B46">
        <w:rPr>
          <w:sz w:val="22"/>
          <w:szCs w:val="22"/>
        </w:rPr>
        <w:t xml:space="preserve">l’Area Apprendimento permanente e orientamento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B6D3F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 xml:space="preserve">MODELLO  </w:t>
      </w:r>
      <w:r w:rsidR="003B6D3F">
        <w:rPr>
          <w:b/>
          <w:sz w:val="22"/>
          <w:szCs w:val="22"/>
        </w:rPr>
        <w:t>“</w:t>
      </w:r>
      <w:proofErr w:type="gramEnd"/>
      <w:r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B6D3F" w:rsidRPr="000F2E59" w:rsidRDefault="003F3A51" w:rsidP="000F2E59">
      <w:pPr>
        <w:pStyle w:val="sche22"/>
        <w:jc w:val="center"/>
        <w:rPr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0" w:rsidRDefault="00852D40">
      <w:r>
        <w:separator/>
      </w:r>
    </w:p>
  </w:endnote>
  <w:endnote w:type="continuationSeparator" w:id="0">
    <w:p w:rsidR="00852D40" w:rsidRDefault="008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09364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364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09364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0" w:rsidRDefault="00852D40">
      <w:r>
        <w:separator/>
      </w:r>
    </w:p>
  </w:footnote>
  <w:footnote w:type="continuationSeparator" w:id="0">
    <w:p w:rsidR="00852D40" w:rsidRDefault="0085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93644"/>
    <w:rsid w:val="000F2E59"/>
    <w:rsid w:val="00264540"/>
    <w:rsid w:val="003B6D3F"/>
    <w:rsid w:val="003F3A51"/>
    <w:rsid w:val="004D4CDB"/>
    <w:rsid w:val="005549AC"/>
    <w:rsid w:val="00644B39"/>
    <w:rsid w:val="00717E27"/>
    <w:rsid w:val="00785F5B"/>
    <w:rsid w:val="00852D40"/>
    <w:rsid w:val="0099177B"/>
    <w:rsid w:val="009E1F24"/>
    <w:rsid w:val="00A96608"/>
    <w:rsid w:val="00B04B46"/>
    <w:rsid w:val="00C12F06"/>
    <w:rsid w:val="00C34B62"/>
    <w:rsid w:val="00C91C5D"/>
    <w:rsid w:val="00CC1325"/>
    <w:rsid w:val="00D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4F40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Stefania Serra</cp:lastModifiedBy>
  <cp:revision>11</cp:revision>
  <dcterms:created xsi:type="dcterms:W3CDTF">2019-01-25T07:49:00Z</dcterms:created>
  <dcterms:modified xsi:type="dcterms:W3CDTF">2019-02-13T08:12:00Z</dcterms:modified>
</cp:coreProperties>
</file>