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8B29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bCs/>
          <w:sz w:val="24"/>
          <w:szCs w:val="24"/>
        </w:rPr>
        <w:t>Schema tipo di intesa per la costituzione del “Centro interdipartimentale di ricerca ...” fra</w:t>
      </w:r>
      <w:r w:rsidR="00092395" w:rsidRPr="00D03C4A">
        <w:rPr>
          <w:rFonts w:ascii="Garamond" w:hAnsi="Garamond"/>
          <w:b/>
          <w:bCs/>
          <w:sz w:val="24"/>
          <w:szCs w:val="24"/>
        </w:rPr>
        <w:t xml:space="preserve"> </w:t>
      </w:r>
      <w:r w:rsidR="00C0422F" w:rsidRPr="00D03C4A">
        <w:rPr>
          <w:rFonts w:ascii="Garamond" w:hAnsi="Garamond"/>
          <w:b/>
          <w:bCs/>
          <w:sz w:val="24"/>
          <w:szCs w:val="24"/>
        </w:rPr>
        <w:t>d</w:t>
      </w:r>
      <w:r w:rsidRPr="00D03C4A">
        <w:rPr>
          <w:rFonts w:ascii="Garamond" w:hAnsi="Garamond"/>
          <w:b/>
          <w:bCs/>
          <w:sz w:val="24"/>
          <w:szCs w:val="24"/>
        </w:rPr>
        <w:t>ipartimenti dell’Università degli studi di Genova</w:t>
      </w:r>
    </w:p>
    <w:p w14:paraId="00B263AA" w14:textId="77777777" w:rsidR="000B46D0" w:rsidRPr="00D03C4A" w:rsidRDefault="000B46D0" w:rsidP="0042621B">
      <w:pPr>
        <w:spacing w:after="0" w:line="23" w:lineRule="atLeast"/>
        <w:jc w:val="center"/>
        <w:rPr>
          <w:rFonts w:ascii="Garamond" w:hAnsi="Garamond"/>
          <w:b/>
          <w:bCs/>
          <w:sz w:val="24"/>
          <w:szCs w:val="24"/>
        </w:rPr>
      </w:pPr>
    </w:p>
    <w:p w14:paraId="56A613F9" w14:textId="77777777" w:rsidR="00632FA3" w:rsidRPr="00D03C4A" w:rsidRDefault="00632FA3" w:rsidP="0042621B">
      <w:pPr>
        <w:spacing w:after="0" w:line="23" w:lineRule="atLeast"/>
        <w:jc w:val="center"/>
        <w:rPr>
          <w:rFonts w:ascii="Garamond" w:hAnsi="Garamond"/>
          <w:bCs/>
          <w:i/>
          <w:sz w:val="24"/>
          <w:szCs w:val="24"/>
        </w:rPr>
      </w:pPr>
      <w:r w:rsidRPr="00D03C4A">
        <w:rPr>
          <w:rFonts w:ascii="Garamond" w:hAnsi="Garamond"/>
          <w:bCs/>
          <w:i/>
          <w:sz w:val="24"/>
          <w:szCs w:val="24"/>
        </w:rPr>
        <w:t>(approvato dagli organi di governo dell’Ateneo nelle adunanze del 9 e 10 luglio 2013)</w:t>
      </w:r>
    </w:p>
    <w:p w14:paraId="3C591F89" w14:textId="77777777" w:rsidR="005E4FCB" w:rsidRDefault="005E4FCB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</w:p>
    <w:p w14:paraId="1E1298CA" w14:textId="37A9E0F1" w:rsidR="00413242" w:rsidRDefault="00413242" w:rsidP="00413242">
      <w:pPr>
        <w:pStyle w:val="Pidipagina"/>
        <w:jc w:val="both"/>
      </w:pP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(Quando, unicamente a scopo di semplificazione, è usato il 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genere 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maschile, 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la disposizione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 è da intendersi riferita in maniera inclusiva a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nche al genere femminile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).</w:t>
      </w:r>
      <w:r>
        <w:rPr>
          <w:rStyle w:val="eop"/>
          <w:rFonts w:ascii="Fira Sans" w:hAnsi="Fira Sans"/>
          <w:color w:val="000000"/>
          <w:shd w:val="clear" w:color="auto" w:fill="FFFFFF"/>
        </w:rPr>
        <w:t> </w:t>
      </w:r>
    </w:p>
    <w:p w14:paraId="421B952C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Premesse</w:t>
      </w:r>
    </w:p>
    <w:p w14:paraId="3736A0FC" w14:textId="77777777" w:rsidR="004C4A89" w:rsidRPr="00D03C4A" w:rsidRDefault="004C4A89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</w:p>
    <w:p w14:paraId="45CAC1E2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Vista </w:t>
      </w:r>
      <w:r w:rsidRPr="00D03C4A">
        <w:rPr>
          <w:rFonts w:ascii="Garamond" w:hAnsi="Garamond"/>
          <w:sz w:val="24"/>
          <w:szCs w:val="24"/>
        </w:rPr>
        <w:tab/>
      </w:r>
      <w:r w:rsidRPr="00D03C4A">
        <w:rPr>
          <w:rFonts w:ascii="Garamond" w:hAnsi="Garamond"/>
          <w:sz w:val="24"/>
          <w:szCs w:val="24"/>
        </w:rPr>
        <w:tab/>
        <w:t xml:space="preserve">la </w:t>
      </w:r>
      <w:r w:rsidR="00D03C4A" w:rsidRPr="00D03C4A">
        <w:rPr>
          <w:rFonts w:ascii="Garamond" w:hAnsi="Garamond"/>
          <w:sz w:val="24"/>
          <w:szCs w:val="24"/>
        </w:rPr>
        <w:t>L</w:t>
      </w:r>
      <w:r w:rsidRPr="00D03C4A">
        <w:rPr>
          <w:rFonts w:ascii="Garamond" w:hAnsi="Garamond"/>
          <w:sz w:val="24"/>
          <w:szCs w:val="24"/>
        </w:rPr>
        <w:t>.</w:t>
      </w:r>
      <w:r w:rsidR="006A75C5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30.12.2010, n.</w:t>
      </w:r>
      <w:r w:rsidR="006A75C5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240</w:t>
      </w:r>
      <w:r w:rsidR="006A75C5" w:rsidRPr="00D03C4A">
        <w:rPr>
          <w:rFonts w:ascii="Garamond" w:hAnsi="Garamond"/>
          <w:sz w:val="24"/>
          <w:szCs w:val="24"/>
        </w:rPr>
        <w:t xml:space="preserve"> e </w:t>
      </w:r>
      <w:proofErr w:type="spellStart"/>
      <w:r w:rsidR="006A75C5" w:rsidRPr="00D03C4A">
        <w:rPr>
          <w:rFonts w:ascii="Garamond" w:hAnsi="Garamond"/>
          <w:sz w:val="24"/>
          <w:szCs w:val="24"/>
        </w:rPr>
        <w:t>s.m</w:t>
      </w:r>
      <w:proofErr w:type="spellEnd"/>
      <w:r w:rsidR="006A75C5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>;</w:t>
      </w:r>
    </w:p>
    <w:p w14:paraId="0E7CC8E1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Visto</w:t>
      </w:r>
      <w:r w:rsidR="002A4295" w:rsidRPr="00D03C4A">
        <w:rPr>
          <w:rFonts w:ascii="Garamond" w:hAnsi="Garamond"/>
          <w:sz w:val="24"/>
          <w:szCs w:val="24"/>
        </w:rPr>
        <w:t xml:space="preserve"> </w:t>
      </w:r>
      <w:r w:rsidR="002A4295" w:rsidRPr="00D03C4A">
        <w:rPr>
          <w:rFonts w:ascii="Garamond" w:hAnsi="Garamond"/>
          <w:sz w:val="24"/>
          <w:szCs w:val="24"/>
        </w:rPr>
        <w:tab/>
      </w:r>
      <w:r w:rsidRPr="00D03C4A">
        <w:rPr>
          <w:rFonts w:ascii="Garamond" w:hAnsi="Garamond"/>
          <w:sz w:val="24"/>
          <w:szCs w:val="24"/>
        </w:rPr>
        <w:tab/>
        <w:t xml:space="preserve">il </w:t>
      </w:r>
      <w:r w:rsidR="00D03C4A" w:rsidRPr="00D03C4A">
        <w:rPr>
          <w:rFonts w:ascii="Garamond" w:hAnsi="Garamond"/>
          <w:sz w:val="24"/>
          <w:szCs w:val="24"/>
        </w:rPr>
        <w:t>D</w:t>
      </w:r>
      <w:r w:rsidRPr="00D03C4A">
        <w:rPr>
          <w:rFonts w:ascii="Garamond" w:hAnsi="Garamond"/>
          <w:sz w:val="24"/>
          <w:szCs w:val="24"/>
        </w:rPr>
        <w:t>. lgs. 27.1.2012, n. 18</w:t>
      </w:r>
      <w:r w:rsidR="006A75C5" w:rsidRPr="00D03C4A">
        <w:rPr>
          <w:rFonts w:ascii="Garamond" w:hAnsi="Garamond"/>
          <w:sz w:val="24"/>
          <w:szCs w:val="24"/>
        </w:rPr>
        <w:t xml:space="preserve"> e </w:t>
      </w:r>
      <w:proofErr w:type="spellStart"/>
      <w:r w:rsidR="006A75C5" w:rsidRPr="00D03C4A">
        <w:rPr>
          <w:rFonts w:ascii="Garamond" w:hAnsi="Garamond"/>
          <w:sz w:val="24"/>
          <w:szCs w:val="24"/>
        </w:rPr>
        <w:t>s.m</w:t>
      </w:r>
      <w:proofErr w:type="spellEnd"/>
      <w:r w:rsidR="006A75C5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>;</w:t>
      </w:r>
    </w:p>
    <w:p w14:paraId="6433280B" w14:textId="77777777" w:rsidR="004946E7" w:rsidRPr="00D03C4A" w:rsidRDefault="00C9676B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4946E7"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>l’art.</w:t>
      </w:r>
      <w:r w:rsidR="00A1480D"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>3</w:t>
      </w:r>
      <w:r w:rsidR="00A1480D" w:rsidRPr="00D03C4A">
        <w:rPr>
          <w:rFonts w:ascii="Garamond" w:hAnsi="Garamond"/>
          <w:sz w:val="24"/>
          <w:szCs w:val="24"/>
        </w:rPr>
        <w:t>4</w:t>
      </w:r>
      <w:r w:rsidR="004946E7" w:rsidRPr="00D03C4A">
        <w:rPr>
          <w:rFonts w:ascii="Garamond" w:hAnsi="Garamond"/>
          <w:sz w:val="24"/>
          <w:szCs w:val="24"/>
        </w:rPr>
        <w:t>, comma 1</w:t>
      </w:r>
      <w:r w:rsidR="00A1480D" w:rsidRPr="00D03C4A">
        <w:rPr>
          <w:rFonts w:ascii="Garamond" w:hAnsi="Garamond"/>
          <w:sz w:val="24"/>
          <w:szCs w:val="24"/>
        </w:rPr>
        <w:t>0</w:t>
      </w:r>
      <w:r w:rsidR="004946E7" w:rsidRPr="00D03C4A">
        <w:rPr>
          <w:rFonts w:ascii="Garamond" w:hAnsi="Garamond"/>
          <w:sz w:val="24"/>
          <w:szCs w:val="24"/>
        </w:rPr>
        <w:t>, del vigente Statuto, che recita</w:t>
      </w:r>
      <w:r w:rsidR="00632FA3" w:rsidRPr="00D03C4A">
        <w:rPr>
          <w:rFonts w:ascii="Garamond" w:hAnsi="Garamond"/>
          <w:sz w:val="24"/>
          <w:szCs w:val="24"/>
        </w:rPr>
        <w:t>:</w:t>
      </w:r>
      <w:r w:rsidR="004946E7" w:rsidRPr="00D03C4A">
        <w:rPr>
          <w:rFonts w:ascii="Garamond" w:hAnsi="Garamond"/>
          <w:sz w:val="24"/>
          <w:szCs w:val="24"/>
        </w:rPr>
        <w:t xml:space="preserve"> “</w:t>
      </w:r>
      <w:r w:rsidR="00A1480D" w:rsidRPr="00D03C4A">
        <w:rPr>
          <w:rFonts w:ascii="Garamond" w:hAnsi="Garamond"/>
          <w:i/>
          <w:sz w:val="24"/>
          <w:szCs w:val="24"/>
        </w:rPr>
        <w:t>Nel rispetto delle disposizioni contenute in apposito regolamento di Ateneo, i</w:t>
      </w:r>
      <w:r w:rsidR="004946E7" w:rsidRPr="00D03C4A">
        <w:rPr>
          <w:rFonts w:ascii="Garamond" w:hAnsi="Garamond"/>
          <w:i/>
          <w:sz w:val="24"/>
          <w:szCs w:val="24"/>
        </w:rPr>
        <w:t xml:space="preserve"> dipartimenti possono costituire, d’intesa tra loro, centri interdipartimentali di ricerca</w:t>
      </w:r>
      <w:r w:rsidR="004946E7" w:rsidRPr="00D03C4A">
        <w:rPr>
          <w:rFonts w:ascii="Garamond" w:hAnsi="Garamond"/>
          <w:sz w:val="24"/>
          <w:szCs w:val="24"/>
        </w:rPr>
        <w:t>”;</w:t>
      </w:r>
    </w:p>
    <w:p w14:paraId="199412B4" w14:textId="77777777" w:rsidR="004946E7" w:rsidRPr="00D03C4A" w:rsidRDefault="00C9676B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6A75C5" w:rsidRPr="00D03C4A">
        <w:rPr>
          <w:rFonts w:ascii="Garamond" w:hAnsi="Garamond"/>
          <w:sz w:val="24"/>
          <w:szCs w:val="24"/>
        </w:rPr>
        <w:tab/>
        <w:t xml:space="preserve">il </w:t>
      </w:r>
      <w:r w:rsidR="004946E7" w:rsidRPr="00D03C4A">
        <w:rPr>
          <w:rFonts w:ascii="Garamond" w:hAnsi="Garamond"/>
          <w:sz w:val="24"/>
          <w:szCs w:val="24"/>
        </w:rPr>
        <w:t>regolamento di Ateneo per l’amministrazione, la finanza e la contabilità;</w:t>
      </w:r>
    </w:p>
    <w:p w14:paraId="609E3BA9" w14:textId="77777777" w:rsidR="004946E7" w:rsidRPr="00D03C4A" w:rsidRDefault="00B151B4" w:rsidP="0042621B">
      <w:pPr>
        <w:pStyle w:val="Paragrafoelenco"/>
        <w:spacing w:after="0" w:line="23" w:lineRule="atLeast"/>
        <w:ind w:left="1418" w:hanging="14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C0422F" w:rsidRPr="00D03C4A">
        <w:rPr>
          <w:rFonts w:ascii="Garamond" w:hAnsi="Garamond"/>
          <w:sz w:val="24"/>
          <w:szCs w:val="24"/>
        </w:rPr>
        <w:tab/>
      </w:r>
      <w:r w:rsidR="006A75C5" w:rsidRPr="00D03C4A">
        <w:rPr>
          <w:rFonts w:ascii="Garamond" w:hAnsi="Garamond"/>
          <w:sz w:val="24"/>
          <w:szCs w:val="24"/>
        </w:rPr>
        <w:t>l’a</w:t>
      </w:r>
      <w:r w:rsidR="00C0422F" w:rsidRPr="00D03C4A">
        <w:rPr>
          <w:rFonts w:ascii="Garamond" w:hAnsi="Garamond"/>
          <w:sz w:val="24"/>
          <w:szCs w:val="24"/>
        </w:rPr>
        <w:t>tto di organizzazione amministrativa e tecnica</w:t>
      </w:r>
      <w:r w:rsidR="004946E7" w:rsidRPr="00D03C4A">
        <w:rPr>
          <w:rFonts w:ascii="Garamond" w:hAnsi="Garamond"/>
          <w:sz w:val="24"/>
          <w:szCs w:val="24"/>
        </w:rPr>
        <w:t>;</w:t>
      </w:r>
    </w:p>
    <w:p w14:paraId="3163AC0B" w14:textId="77777777" w:rsidR="004946E7" w:rsidRPr="00D03C4A" w:rsidRDefault="00B151B4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Richiamate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>le delibere del senato accademico e del consiglio di amministrazione, rispettivamente in data 9 e 10.7.2013;</w:t>
      </w:r>
    </w:p>
    <w:p w14:paraId="57CC002E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Considerato </w:t>
      </w:r>
      <w:r w:rsidRPr="00D03C4A">
        <w:rPr>
          <w:rFonts w:ascii="Garamond" w:hAnsi="Garamond"/>
          <w:sz w:val="24"/>
          <w:szCs w:val="24"/>
        </w:rPr>
        <w:tab/>
        <w:t xml:space="preserve">che </w:t>
      </w:r>
      <w:r w:rsidR="00632FA3" w:rsidRPr="00D03C4A">
        <w:rPr>
          <w:rFonts w:ascii="Garamond" w:hAnsi="Garamond"/>
          <w:sz w:val="24"/>
          <w:szCs w:val="24"/>
        </w:rPr>
        <w:t>…</w:t>
      </w:r>
      <w:r w:rsidRPr="00D03C4A">
        <w:rPr>
          <w:rFonts w:ascii="Garamond" w:hAnsi="Garamond"/>
          <w:sz w:val="24"/>
          <w:szCs w:val="24"/>
        </w:rPr>
        <w:t xml:space="preserve"> (</w:t>
      </w:r>
      <w:r w:rsidRPr="00D03C4A">
        <w:rPr>
          <w:rFonts w:ascii="Garamond" w:hAnsi="Garamond"/>
          <w:i/>
          <w:sz w:val="24"/>
          <w:szCs w:val="24"/>
        </w:rPr>
        <w:t>indicare le motivazioni</w:t>
      </w:r>
      <w:r w:rsidRPr="00D03C4A">
        <w:rPr>
          <w:rFonts w:ascii="Garamond" w:hAnsi="Garamond"/>
          <w:sz w:val="24"/>
          <w:szCs w:val="24"/>
        </w:rPr>
        <w:t xml:space="preserve">); </w:t>
      </w:r>
    </w:p>
    <w:p w14:paraId="482FCAEA" w14:textId="77777777" w:rsidR="004946E7" w:rsidRPr="00D03C4A" w:rsidRDefault="00B151B4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</w:t>
      </w:r>
      <w:r w:rsidR="004946E7" w:rsidRPr="00D03C4A">
        <w:rPr>
          <w:rFonts w:ascii="Garamond" w:hAnsi="Garamond"/>
          <w:sz w:val="24"/>
          <w:szCs w:val="24"/>
        </w:rPr>
        <w:t>te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 xml:space="preserve">le delibere dei consigli dei dipartimenti di ………………………, di …………………………… e di …………………, rispettivamente, in data </w:t>
      </w:r>
      <w:proofErr w:type="gramStart"/>
      <w:r w:rsidR="004946E7" w:rsidRPr="00D03C4A">
        <w:rPr>
          <w:rFonts w:ascii="Garamond" w:hAnsi="Garamond"/>
          <w:sz w:val="24"/>
          <w:szCs w:val="24"/>
        </w:rPr>
        <w:t>…….</w:t>
      </w:r>
      <w:proofErr w:type="gramEnd"/>
      <w:r w:rsidR="004946E7" w:rsidRPr="00D03C4A">
        <w:rPr>
          <w:rFonts w:ascii="Garamond" w:hAnsi="Garamond"/>
          <w:sz w:val="24"/>
          <w:szCs w:val="24"/>
        </w:rPr>
        <w:t>, ……..……. e ………, che autorizzano i relativi direttori alla sottoscrizione della presente intesa</w:t>
      </w:r>
      <w:r w:rsidR="00222EF5">
        <w:rPr>
          <w:rFonts w:ascii="Garamond" w:hAnsi="Garamond"/>
          <w:sz w:val="24"/>
          <w:szCs w:val="24"/>
        </w:rPr>
        <w:t>;</w:t>
      </w:r>
      <w:r w:rsidR="004946E7" w:rsidRPr="00D03C4A">
        <w:rPr>
          <w:rFonts w:ascii="Garamond" w:hAnsi="Garamond"/>
          <w:sz w:val="24"/>
          <w:szCs w:val="24"/>
        </w:rPr>
        <w:t xml:space="preserve"> </w:t>
      </w:r>
    </w:p>
    <w:p w14:paraId="6C88438E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Tra i dipartimenti di ……………………………………, di …………………………………. e di ………………………………….</w:t>
      </w:r>
    </w:p>
    <w:p w14:paraId="4294828A" w14:textId="77777777" w:rsidR="000B46D0" w:rsidRDefault="000B46D0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</w:p>
    <w:p w14:paraId="5660CDF6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si conviene</w:t>
      </w:r>
    </w:p>
    <w:p w14:paraId="5ACA2A6F" w14:textId="77777777" w:rsidR="000B46D0" w:rsidRDefault="000B46D0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</w:p>
    <w:p w14:paraId="18CADCE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la costituzione </w:t>
      </w:r>
      <w:r w:rsidR="00253778" w:rsidRPr="00D03C4A">
        <w:rPr>
          <w:rFonts w:ascii="Garamond" w:hAnsi="Garamond"/>
          <w:sz w:val="24"/>
          <w:szCs w:val="24"/>
        </w:rPr>
        <w:t xml:space="preserve">del </w:t>
      </w:r>
      <w:r w:rsidRPr="00D03C4A">
        <w:rPr>
          <w:rFonts w:ascii="Garamond" w:hAnsi="Garamond"/>
          <w:sz w:val="24"/>
          <w:szCs w:val="24"/>
        </w:rPr>
        <w:t>“</w:t>
      </w:r>
      <w:r w:rsidRPr="00D03C4A">
        <w:rPr>
          <w:rFonts w:ascii="Garamond" w:hAnsi="Garamond"/>
          <w:bCs/>
          <w:sz w:val="24"/>
          <w:szCs w:val="24"/>
        </w:rPr>
        <w:t>Centro interdipartimentale …………………………………...................................”, di seguito</w:t>
      </w:r>
      <w:r w:rsidR="00DB7679" w:rsidRPr="00D03C4A">
        <w:rPr>
          <w:rFonts w:ascii="Garamond" w:hAnsi="Garamond"/>
          <w:bCs/>
          <w:sz w:val="24"/>
          <w:szCs w:val="24"/>
        </w:rPr>
        <w:t xml:space="preserve"> </w:t>
      </w:r>
      <w:r w:rsidRPr="00D03C4A">
        <w:rPr>
          <w:rFonts w:ascii="Garamond" w:hAnsi="Garamond"/>
          <w:bCs/>
          <w:sz w:val="24"/>
          <w:szCs w:val="24"/>
        </w:rPr>
        <w:t>denominato</w:t>
      </w:r>
      <w:r w:rsidR="00D76EB8">
        <w:rPr>
          <w:rFonts w:ascii="Garamond" w:hAnsi="Garamond"/>
          <w:bCs/>
          <w:sz w:val="24"/>
          <w:szCs w:val="24"/>
        </w:rPr>
        <w:t xml:space="preserve"> “</w:t>
      </w:r>
      <w:r w:rsidR="00DD29DD">
        <w:rPr>
          <w:rFonts w:ascii="Garamond" w:hAnsi="Garamond"/>
          <w:bCs/>
          <w:sz w:val="24"/>
          <w:szCs w:val="24"/>
        </w:rPr>
        <w:t>c</w:t>
      </w:r>
      <w:r w:rsidRPr="00D03C4A">
        <w:rPr>
          <w:rFonts w:ascii="Garamond" w:hAnsi="Garamond"/>
          <w:bCs/>
          <w:sz w:val="24"/>
          <w:szCs w:val="24"/>
        </w:rPr>
        <w:t>entro</w:t>
      </w:r>
      <w:r w:rsidR="00D76EB8" w:rsidRPr="00D76EB8">
        <w:rPr>
          <w:rFonts w:ascii="Garamond" w:hAnsi="Garamond"/>
          <w:bCs/>
          <w:sz w:val="24"/>
          <w:szCs w:val="24"/>
        </w:rPr>
        <w:t>”</w:t>
      </w:r>
      <w:r w:rsidRPr="00D03C4A">
        <w:rPr>
          <w:rFonts w:ascii="Garamond" w:hAnsi="Garamond"/>
          <w:bCs/>
          <w:sz w:val="24"/>
          <w:szCs w:val="24"/>
        </w:rPr>
        <w:t xml:space="preserve"> o (</w:t>
      </w:r>
      <w:r w:rsidRPr="00D03C4A">
        <w:rPr>
          <w:rFonts w:ascii="Garamond" w:hAnsi="Garamond"/>
          <w:bCs/>
          <w:i/>
          <w:sz w:val="24"/>
          <w:szCs w:val="24"/>
        </w:rPr>
        <w:t>sigla</w:t>
      </w:r>
      <w:r w:rsidRPr="00D03C4A">
        <w:rPr>
          <w:rFonts w:ascii="Garamond" w:hAnsi="Garamond"/>
          <w:bCs/>
          <w:sz w:val="24"/>
          <w:szCs w:val="24"/>
        </w:rPr>
        <w:t>), secondo le disposizioni di seguito riportate.</w:t>
      </w:r>
    </w:p>
    <w:p w14:paraId="3988ADE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4B84750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1. Finalità e obiettivi del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</w:p>
    <w:p w14:paraId="338A35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1. Il </w:t>
      </w:r>
      <w:r w:rsidR="00DD29DD">
        <w:rPr>
          <w:rFonts w:ascii="Garamond" w:hAnsi="Garamond"/>
          <w:bCs/>
          <w:sz w:val="24"/>
          <w:szCs w:val="24"/>
        </w:rPr>
        <w:t>c</w:t>
      </w:r>
      <w:r w:rsidRPr="00D03C4A">
        <w:rPr>
          <w:rFonts w:ascii="Garamond" w:hAnsi="Garamond"/>
          <w:bCs/>
          <w:sz w:val="24"/>
          <w:szCs w:val="24"/>
        </w:rPr>
        <w:t xml:space="preserve">entro </w:t>
      </w:r>
      <w:r w:rsidRPr="00D03C4A">
        <w:rPr>
          <w:rFonts w:ascii="Garamond" w:hAnsi="Garamond"/>
          <w:sz w:val="24"/>
          <w:szCs w:val="24"/>
        </w:rPr>
        <w:t>ha per obiettivo lo svolgimento di esclusiva attività di ricerca nei seguenti ambiti scientifici:</w:t>
      </w:r>
    </w:p>
    <w:p w14:paraId="58356246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13080188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352F79AD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795BAF52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4D61D5F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2. Partecipazione al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  <w:r w:rsidRPr="00D03C4A">
        <w:rPr>
          <w:rFonts w:ascii="Garamond" w:hAnsi="Garamond"/>
          <w:b/>
          <w:sz w:val="24"/>
          <w:szCs w:val="24"/>
        </w:rPr>
        <w:t xml:space="preserve"> </w:t>
      </w:r>
    </w:p>
    <w:p w14:paraId="3D599A2D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1</w:t>
      </w:r>
      <w:r w:rsidR="00EF584E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 dipartimenti che sottoscrivono la presente intesa sono i dipartimenti costituenti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. </w:t>
      </w:r>
    </w:p>
    <w:p w14:paraId="317C9474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 xml:space="preserve">2. Ciascun dipartimento individua con motivata delibera al suo interno il gruppo di docenti coinvolti nelle attività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tra cui </w:t>
      </w:r>
      <w:r w:rsidR="00C739FB">
        <w:rPr>
          <w:rFonts w:ascii="Garamond" w:hAnsi="Garamond" w:cs="Arial"/>
          <w:sz w:val="24"/>
          <w:szCs w:val="24"/>
        </w:rPr>
        <w:t>il relativo rappresentante nel c</w:t>
      </w:r>
      <w:r w:rsidRPr="00D03C4A">
        <w:rPr>
          <w:rFonts w:ascii="Garamond" w:hAnsi="Garamond" w:cs="Arial"/>
          <w:sz w:val="24"/>
          <w:szCs w:val="24"/>
        </w:rPr>
        <w:t xml:space="preserve">omitato di gestione di cui all’art. 3, le risorse umane e strumentali e i servizi messi a disposizione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che sono indicati </w:t>
      </w:r>
      <w:r w:rsidRPr="00D03C4A">
        <w:rPr>
          <w:rFonts w:ascii="Garamond" w:hAnsi="Garamond" w:cs="Arial"/>
          <w:b/>
          <w:sz w:val="24"/>
          <w:szCs w:val="24"/>
        </w:rPr>
        <w:t>nell’allegato A</w:t>
      </w:r>
      <w:r w:rsidRPr="00D03C4A">
        <w:rPr>
          <w:rFonts w:ascii="Garamond" w:hAnsi="Garamond" w:cs="Arial"/>
          <w:sz w:val="24"/>
          <w:szCs w:val="24"/>
        </w:rPr>
        <w:t xml:space="preserve"> alla presente intesa.</w:t>
      </w:r>
    </w:p>
    <w:p w14:paraId="1357F365" w14:textId="77777777" w:rsidR="0036602B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EF584E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C739FB">
        <w:rPr>
          <w:rFonts w:ascii="Garamond" w:hAnsi="Garamond"/>
          <w:sz w:val="24"/>
          <w:szCs w:val="24"/>
        </w:rPr>
        <w:t>È</w:t>
      </w:r>
      <w:r w:rsidRPr="00D03C4A">
        <w:rPr>
          <w:rFonts w:ascii="Garamond" w:hAnsi="Garamond"/>
          <w:sz w:val="24"/>
          <w:szCs w:val="24"/>
        </w:rPr>
        <w:t xml:space="preserve"> consentita l’adesione successiva di altri dipartimenti mediante atti aggiuntivi alla presente intesa. </w:t>
      </w:r>
    </w:p>
    <w:p w14:paraId="30212795" w14:textId="77777777" w:rsidR="004946E7" w:rsidRPr="00D03C4A" w:rsidRDefault="0036602B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4</w:t>
      </w:r>
      <w:r w:rsidR="00EF584E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>L’istan</w:t>
      </w:r>
      <w:r w:rsidR="00C739FB">
        <w:rPr>
          <w:rFonts w:ascii="Garamond" w:hAnsi="Garamond"/>
          <w:sz w:val="24"/>
          <w:szCs w:val="24"/>
        </w:rPr>
        <w:t>za di adesione è presentata al c</w:t>
      </w:r>
      <w:r w:rsidR="004946E7" w:rsidRPr="00D03C4A">
        <w:rPr>
          <w:rFonts w:ascii="Garamond" w:hAnsi="Garamond"/>
          <w:sz w:val="24"/>
          <w:szCs w:val="24"/>
        </w:rPr>
        <w:t>omitato</w:t>
      </w:r>
      <w:r w:rsidR="000D5654" w:rsidRPr="00D03C4A">
        <w:rPr>
          <w:rFonts w:ascii="Garamond" w:hAnsi="Garamond" w:cs="Arial"/>
          <w:b/>
          <w:sz w:val="24"/>
          <w:szCs w:val="24"/>
        </w:rPr>
        <w:t xml:space="preserve"> </w:t>
      </w:r>
      <w:r w:rsidR="004946E7" w:rsidRPr="00D03C4A">
        <w:rPr>
          <w:rFonts w:ascii="Garamond" w:hAnsi="Garamond" w:cs="Arial"/>
          <w:sz w:val="24"/>
          <w:szCs w:val="24"/>
        </w:rPr>
        <w:t>di gestione, per il tramite del coordinatore/presidente</w:t>
      </w:r>
      <w:r w:rsidR="0092245D" w:rsidRPr="00D03C4A">
        <w:rPr>
          <w:rFonts w:ascii="Garamond" w:hAnsi="Garamond" w:cs="Arial"/>
          <w:b/>
          <w:sz w:val="24"/>
          <w:szCs w:val="24"/>
        </w:rPr>
        <w:t xml:space="preserve"> </w:t>
      </w:r>
      <w:r w:rsidR="004946E7" w:rsidRPr="00D03C4A">
        <w:rPr>
          <w:rFonts w:ascii="Garamond" w:hAnsi="Garamond" w:cs="Arial"/>
          <w:sz w:val="24"/>
          <w:szCs w:val="24"/>
        </w:rPr>
        <w:t xml:space="preserve">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="004946E7" w:rsidRPr="00D03C4A">
        <w:rPr>
          <w:rFonts w:ascii="Garamond" w:hAnsi="Garamond" w:cs="Arial"/>
          <w:sz w:val="24"/>
          <w:szCs w:val="24"/>
        </w:rPr>
        <w:t xml:space="preserve">, dal dipartimento interessato con motivata delibera, secondo quanto previsto all’art. 2, </w:t>
      </w:r>
      <w:r w:rsidR="00F761D1" w:rsidRPr="00D03C4A">
        <w:rPr>
          <w:rFonts w:ascii="Garamond" w:hAnsi="Garamond" w:cs="Arial"/>
          <w:sz w:val="24"/>
          <w:szCs w:val="24"/>
        </w:rPr>
        <w:t xml:space="preserve">comma </w:t>
      </w:r>
      <w:r w:rsidR="004946E7" w:rsidRPr="00D03C4A">
        <w:rPr>
          <w:rFonts w:ascii="Garamond" w:hAnsi="Garamond" w:cs="Arial"/>
          <w:sz w:val="24"/>
          <w:szCs w:val="24"/>
        </w:rPr>
        <w:t>2</w:t>
      </w:r>
      <w:r w:rsidR="00F761D1" w:rsidRPr="00D03C4A">
        <w:rPr>
          <w:rFonts w:ascii="Garamond" w:hAnsi="Garamond" w:cs="Arial"/>
          <w:sz w:val="24"/>
          <w:szCs w:val="24"/>
        </w:rPr>
        <w:t>,</w:t>
      </w:r>
      <w:r w:rsidR="004946E7" w:rsidRPr="00D03C4A">
        <w:rPr>
          <w:rFonts w:ascii="Garamond" w:hAnsi="Garamond" w:cs="Arial"/>
          <w:sz w:val="24"/>
          <w:szCs w:val="24"/>
        </w:rPr>
        <w:t xml:space="preserve"> della presente intesa. </w:t>
      </w:r>
    </w:p>
    <w:p w14:paraId="02F85A52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5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dipartimenti aderenti, esaminata l’istanza di adesione trasmessa</w:t>
      </w:r>
      <w:r w:rsidR="00B74DBF" w:rsidRPr="00D03C4A">
        <w:rPr>
          <w:rFonts w:ascii="Garamond" w:hAnsi="Garamond"/>
          <w:b/>
          <w:sz w:val="24"/>
          <w:szCs w:val="24"/>
        </w:rPr>
        <w:t xml:space="preserve"> </w:t>
      </w:r>
      <w:r w:rsidR="00C739FB">
        <w:rPr>
          <w:rFonts w:ascii="Garamond" w:hAnsi="Garamond"/>
          <w:sz w:val="24"/>
          <w:szCs w:val="24"/>
        </w:rPr>
        <w:t>dal c</w:t>
      </w:r>
      <w:r w:rsidRPr="00D03C4A">
        <w:rPr>
          <w:rFonts w:ascii="Garamond" w:hAnsi="Garamond"/>
          <w:sz w:val="24"/>
          <w:szCs w:val="24"/>
        </w:rPr>
        <w:t>omitato di gestione, sottoscrivono l’atto aggiuntivo alla presente intesa previa delibera dei relativi consigli.</w:t>
      </w:r>
    </w:p>
    <w:p w14:paraId="0CADB171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lastRenderedPageBreak/>
        <w:t>6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Possono collaborare alle attività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previa delibera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gestione, su istanza</w:t>
      </w:r>
      <w:r w:rsidR="00B74DBF" w:rsidRPr="00D03C4A">
        <w:rPr>
          <w:rFonts w:ascii="Garamond" w:hAnsi="Garamond"/>
          <w:b/>
          <w:sz w:val="24"/>
          <w:szCs w:val="24"/>
        </w:rPr>
        <w:t xml:space="preserve"> </w:t>
      </w:r>
      <w:r w:rsidRPr="00D03C4A">
        <w:rPr>
          <w:rFonts w:ascii="Garamond" w:hAnsi="Garamond" w:cs="Arial"/>
          <w:sz w:val="24"/>
          <w:szCs w:val="24"/>
        </w:rPr>
        <w:t xml:space="preserve">presentata al coordinatore/presidente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docenti, </w:t>
      </w:r>
      <w:r w:rsidR="004A19F0" w:rsidRPr="00D03C4A">
        <w:rPr>
          <w:rFonts w:ascii="Garamond" w:hAnsi="Garamond" w:cs="Arial"/>
          <w:sz w:val="24"/>
          <w:szCs w:val="24"/>
        </w:rPr>
        <w:t xml:space="preserve">professori a contratto, </w:t>
      </w:r>
      <w:r w:rsidRPr="00D03C4A">
        <w:rPr>
          <w:rFonts w:ascii="Garamond" w:hAnsi="Garamond" w:cs="Arial"/>
          <w:sz w:val="24"/>
          <w:szCs w:val="24"/>
        </w:rPr>
        <w:t xml:space="preserve">personale tecnico-amministrativo, dottorandi e assegnisti di ricerca dell’Ateneo, </w:t>
      </w:r>
      <w:r w:rsidRPr="00D03C4A">
        <w:rPr>
          <w:rFonts w:ascii="Garamond" w:hAnsi="Garamond"/>
          <w:sz w:val="24"/>
          <w:szCs w:val="24"/>
        </w:rPr>
        <w:t>docenti di altri Atenei</w:t>
      </w:r>
      <w:r w:rsidR="00431910" w:rsidRPr="00D03C4A">
        <w:rPr>
          <w:rFonts w:ascii="Garamond" w:hAnsi="Garamond"/>
          <w:b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e studiosi,</w:t>
      </w:r>
      <w:r w:rsidRPr="00D03C4A">
        <w:rPr>
          <w:rFonts w:ascii="Garamond" w:hAnsi="Garamond" w:cs="Arial"/>
          <w:sz w:val="24"/>
          <w:szCs w:val="24"/>
        </w:rPr>
        <w:t xml:space="preserve"> che partecipano ai progetti di ricerca e alle attività formative/divulgative organizzate o coordinate dal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>, nel rispetto della vigente normativa.</w:t>
      </w:r>
    </w:p>
    <w:p w14:paraId="7E7CF1A0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7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L’elenco dei dipartimenti inizialmente aderenti, riportato nell’</w:t>
      </w:r>
      <w:r w:rsidRPr="00D03C4A">
        <w:rPr>
          <w:rFonts w:ascii="Garamond" w:hAnsi="Garamond" w:cs="Arial"/>
          <w:b/>
          <w:sz w:val="24"/>
          <w:szCs w:val="24"/>
        </w:rPr>
        <w:t>allegato A</w:t>
      </w:r>
      <w:r w:rsidRPr="00D03C4A">
        <w:rPr>
          <w:rFonts w:ascii="Garamond" w:hAnsi="Garamond" w:cs="Arial"/>
          <w:sz w:val="24"/>
          <w:szCs w:val="24"/>
        </w:rPr>
        <w:t xml:space="preserve">, viene rivisto e aggiornato a seguito dell’adesione di altri dipartimenti.  </w:t>
      </w:r>
    </w:p>
    <w:p w14:paraId="1A4E731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  <w:kern w:val="0"/>
          <w:lang w:eastAsia="en-US"/>
        </w:rPr>
      </w:pPr>
      <w:r w:rsidRPr="00D03C4A">
        <w:rPr>
          <w:rFonts w:ascii="Garamond" w:eastAsia="Calibri" w:hAnsi="Garamond" w:cs="Arial"/>
          <w:kern w:val="0"/>
          <w:lang w:eastAsia="en-US"/>
        </w:rPr>
        <w:t>8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L’attività svolta nell’ambito del </w:t>
      </w:r>
      <w:r w:rsidR="00DD29DD">
        <w:rPr>
          <w:rFonts w:ascii="Garamond" w:eastAsia="Calibri" w:hAnsi="Garamond" w:cs="Arial"/>
          <w:kern w:val="0"/>
          <w:lang w:eastAsia="en-US"/>
        </w:rPr>
        <w:t>c</w:t>
      </w:r>
      <w:r w:rsidR="00514EB3" w:rsidRPr="00D03C4A">
        <w:rPr>
          <w:rFonts w:ascii="Garamond" w:eastAsia="Calibri" w:hAnsi="Garamond" w:cs="Arial"/>
          <w:kern w:val="0"/>
          <w:lang w:eastAsia="en-US"/>
        </w:rPr>
        <w:t>entro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dal personale docente è riferita, ai fini della relativa valutazione, al dipartimento di afferenza, ai sensi dell’art. 4</w:t>
      </w:r>
      <w:r w:rsidR="00BF04AF" w:rsidRPr="00D03C4A">
        <w:rPr>
          <w:rFonts w:ascii="Garamond" w:eastAsia="Calibri" w:hAnsi="Garamond" w:cs="Arial"/>
          <w:kern w:val="0"/>
          <w:lang w:eastAsia="en-US"/>
        </w:rPr>
        <w:t>1</w:t>
      </w:r>
      <w:r w:rsidRPr="00D03C4A">
        <w:rPr>
          <w:rFonts w:ascii="Garamond" w:eastAsia="Calibri" w:hAnsi="Garamond" w:cs="Arial"/>
          <w:kern w:val="0"/>
          <w:lang w:eastAsia="en-US"/>
        </w:rPr>
        <w:t>, comma 4</w:t>
      </w:r>
      <w:r w:rsidR="00BF04AF" w:rsidRPr="00D03C4A">
        <w:rPr>
          <w:rFonts w:ascii="Garamond" w:eastAsia="Calibri" w:hAnsi="Garamond" w:cs="Arial"/>
          <w:kern w:val="0"/>
          <w:lang w:eastAsia="en-US"/>
        </w:rPr>
        <w:t>,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dello Statuto, e il dipartimento ne tiene conto nel proprio rapporto di autovalutazione e nella scheda unica annuale della ricerca dipartimentale (SUA-RD) nell’ambito del processo di autovalutazione, valutazione e accreditamento – AVA per l’assicurazione della qualità.</w:t>
      </w:r>
    </w:p>
    <w:p w14:paraId="4EA1FA2B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</w:p>
    <w:p w14:paraId="3707220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3. Comitato di gestione e </w:t>
      </w:r>
      <w:r w:rsidR="00B96263" w:rsidRPr="00D03C4A">
        <w:rPr>
          <w:rFonts w:ascii="Garamond" w:hAnsi="Garamond"/>
          <w:b/>
          <w:sz w:val="24"/>
          <w:szCs w:val="24"/>
        </w:rPr>
        <w:t>coordinatore/presidente</w:t>
      </w:r>
    </w:p>
    <w:p w14:paraId="27B161A7" w14:textId="510C0816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è diretto da un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gestione, costituito da un docente </w:t>
      </w:r>
      <w:r w:rsidR="00413242">
        <w:rPr>
          <w:rFonts w:ascii="Garamond" w:hAnsi="Garamond"/>
          <w:sz w:val="24"/>
          <w:szCs w:val="24"/>
        </w:rPr>
        <w:t>(professore ordinario/associato; ricercatore a tempo determinato/indeterminato)</w:t>
      </w:r>
      <w:r w:rsidRPr="00D03C4A">
        <w:rPr>
          <w:rFonts w:ascii="Garamond" w:hAnsi="Garamond"/>
          <w:sz w:val="24"/>
          <w:szCs w:val="24"/>
        </w:rPr>
        <w:t xml:space="preserve"> rappresentante per ciascun dipartimento, designato dal relativo consiglio. Ogni rappresentante può farsi sostituire nelle riunioni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da un docente, in forza di apposita delega scritta e sotto la propria responsabilità.</w:t>
      </w:r>
    </w:p>
    <w:p w14:paraId="5AFC07DA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 w:cs="Arial"/>
          <w:sz w:val="24"/>
          <w:szCs w:val="24"/>
        </w:rPr>
        <w:t>I rappresentanti dei dipartimenti durano in carica fino a revoca espressa con delibera del relativo consiglio di dipartimento.</w:t>
      </w:r>
    </w:p>
    <w:p w14:paraId="11C61B47" w14:textId="77777777" w:rsidR="004946E7" w:rsidRPr="00D03C4A" w:rsidRDefault="004946E7" w:rsidP="0042621B">
      <w:pPr>
        <w:pStyle w:val="Contenutotabella"/>
        <w:snapToGrid w:val="0"/>
        <w:spacing w:line="23" w:lineRule="atLeast"/>
        <w:ind w:right="-143"/>
        <w:jc w:val="both"/>
        <w:rPr>
          <w:rFonts w:ascii="Garamond" w:hAnsi="Garamond" w:cs="Arial"/>
        </w:rPr>
      </w:pPr>
      <w:r w:rsidRPr="00D03C4A">
        <w:rPr>
          <w:rFonts w:ascii="Garamond" w:hAnsi="Garamond" w:cs="Arial"/>
        </w:rPr>
        <w:t xml:space="preserve">3.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nomina al suo interno il coordinatore/presidente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Pr="00D03C4A">
        <w:rPr>
          <w:rFonts w:ascii="Garamond" w:hAnsi="Garamond" w:cs="Arial"/>
        </w:rPr>
        <w:t>, senza rappresentanza esterna, con funzioni di coordinamento delle</w:t>
      </w:r>
      <w:r w:rsidRPr="00D03C4A">
        <w:rPr>
          <w:rFonts w:ascii="Garamond" w:eastAsia="Calibri" w:hAnsi="Garamond"/>
          <w:kern w:val="0"/>
          <w:lang w:eastAsia="en-US"/>
        </w:rPr>
        <w:t xml:space="preserve"> attività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hAnsi="Garamond" w:cs="Arial"/>
        </w:rPr>
        <w:t xml:space="preserve">scelto tra i rappresentanti dei dipartimenti aderenti, preferibilmente tra i professori in regime di impegno a tempo pieno. 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può altresì nominare un vice </w:t>
      </w:r>
      <w:r w:rsidR="00B96263" w:rsidRPr="00D03C4A">
        <w:rPr>
          <w:rFonts w:ascii="Garamond" w:hAnsi="Garamond" w:cs="Arial"/>
        </w:rPr>
        <w:t>coordinatore/presidente</w:t>
      </w:r>
      <w:r w:rsidRPr="00D03C4A">
        <w:rPr>
          <w:rFonts w:ascii="Garamond" w:hAnsi="Garamond" w:cs="Arial"/>
        </w:rPr>
        <w:t xml:space="preserve">, preferibilmente tra i professori del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di gestione in regime di impegno a tempo pieno, </w:t>
      </w:r>
      <w:r w:rsidRPr="00D03C4A">
        <w:rPr>
          <w:rFonts w:ascii="Garamond" w:eastAsia="Calibri" w:hAnsi="Garamond"/>
          <w:kern w:val="0"/>
          <w:lang w:eastAsia="en-US"/>
        </w:rPr>
        <w:t xml:space="preserve">con funzioni di vicario del </w:t>
      </w:r>
      <w:r w:rsidR="00B96263" w:rsidRPr="00D03C4A">
        <w:rPr>
          <w:rFonts w:ascii="Garamond" w:eastAsia="Calibri" w:hAnsi="Garamond"/>
          <w:kern w:val="0"/>
          <w:lang w:eastAsia="en-US"/>
        </w:rPr>
        <w:t>coordinatore/presidente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hAnsi="Garamond" w:cs="Arial"/>
        </w:rPr>
        <w:t>in caso di sua assenza o temporaneo impedimento</w:t>
      </w:r>
      <w:r w:rsidR="005820A6" w:rsidRPr="00D03C4A">
        <w:rPr>
          <w:rFonts w:ascii="Garamond" w:hAnsi="Garamond" w:cs="Arial"/>
        </w:rPr>
        <w:t xml:space="preserve"> </w:t>
      </w:r>
      <w:r w:rsidR="005820A6" w:rsidRPr="00D03C4A">
        <w:rPr>
          <w:rFonts w:ascii="Garamond" w:hAnsi="Garamond" w:cs="Arial"/>
          <w:i/>
        </w:rPr>
        <w:t>[Nota: in alternativa, il coordinatore/presidente designa direttamente il vicecoordinatore / vicepresidente]</w:t>
      </w:r>
      <w:r w:rsidRPr="00D03C4A">
        <w:rPr>
          <w:rFonts w:ascii="Garamond" w:hAnsi="Garamond" w:cs="Arial"/>
        </w:rPr>
        <w:t>.</w:t>
      </w:r>
    </w:p>
    <w:p w14:paraId="7811278A" w14:textId="77777777" w:rsidR="004946E7" w:rsidRPr="00D03C4A" w:rsidRDefault="004946E7" w:rsidP="0042621B">
      <w:pPr>
        <w:pStyle w:val="Contenutotabella"/>
        <w:snapToGrid w:val="0"/>
        <w:spacing w:line="23" w:lineRule="atLeast"/>
        <w:ind w:right="-143"/>
        <w:jc w:val="both"/>
        <w:rPr>
          <w:rFonts w:ascii="Garamond" w:hAnsi="Garamond" w:cs="Arial"/>
        </w:rPr>
      </w:pPr>
      <w:r w:rsidRPr="00D03C4A">
        <w:rPr>
          <w:rFonts w:ascii="Garamond" w:hAnsi="Garamond" w:cs="Arial"/>
        </w:rPr>
        <w:t>4</w:t>
      </w:r>
      <w:r w:rsidR="00C630B7" w:rsidRPr="00D03C4A">
        <w:rPr>
          <w:rFonts w:ascii="Garamond" w:hAnsi="Garamond" w:cs="Arial"/>
        </w:rPr>
        <w:t>.</w:t>
      </w:r>
      <w:r w:rsidRPr="00D03C4A">
        <w:rPr>
          <w:rFonts w:ascii="Garamond" w:hAnsi="Garamond" w:cs="Arial"/>
        </w:rPr>
        <w:t xml:space="preserve">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ha la funzione di indirizzare, programmare, coordinare, controllare e sovraintendere alle attività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Pr="00D03C4A">
        <w:rPr>
          <w:rFonts w:ascii="Garamond" w:hAnsi="Garamond" w:cs="Arial"/>
        </w:rPr>
        <w:t>, in particolare nei seguenti ambiti:</w:t>
      </w:r>
    </w:p>
    <w:p w14:paraId="4526D48A" w14:textId="77777777" w:rsidR="004946E7" w:rsidRPr="00D03C4A" w:rsidRDefault="004946E7" w:rsidP="0042621B">
      <w:pPr>
        <w:tabs>
          <w:tab w:val="left" w:pos="2410"/>
        </w:tabs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progetti di ricerca nazionale e internazionale;</w:t>
      </w:r>
    </w:p>
    <w:p w14:paraId="7DB4924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sostegno alle attività didattiche svolte dai dipartimenti aderenti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135C164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ricerca di finanziamenti a sostegno delle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4ECF075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rapporti istituzionali con enti pubblici o privati;</w:t>
      </w:r>
    </w:p>
    <w:p w14:paraId="7759903C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fruizione e rinnovo della strumentazione utilizzata dal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41FF42C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divulgazione scientifica e comunicazione esterna;</w:t>
      </w:r>
    </w:p>
    <w:p w14:paraId="78B0FB24" w14:textId="77777777" w:rsidR="004946E7" w:rsidRPr="00D03C4A" w:rsidRDefault="004946E7" w:rsidP="0042621B">
      <w:pPr>
        <w:pStyle w:val="Contenutotabella"/>
        <w:snapToGrid w:val="0"/>
        <w:spacing w:line="23" w:lineRule="atLeast"/>
        <w:ind w:left="142" w:hanging="142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 xml:space="preserve">- linee di indirizzo concernenti l’amministrazione e la gestione dei fondi allocati nelle voci del </w:t>
      </w:r>
      <w:r w:rsidR="004B300C" w:rsidRPr="004B300C">
        <w:rPr>
          <w:rFonts w:ascii="Garamond" w:eastAsia="Calibri" w:hAnsi="Garamond"/>
          <w:i/>
          <w:kern w:val="0"/>
          <w:lang w:eastAsia="en-US"/>
        </w:rPr>
        <w:t xml:space="preserve">budget </w:t>
      </w:r>
      <w:r w:rsidRPr="00D03C4A">
        <w:rPr>
          <w:rFonts w:ascii="Garamond" w:eastAsia="Calibri" w:hAnsi="Garamond"/>
          <w:kern w:val="0"/>
          <w:lang w:eastAsia="en-US"/>
        </w:rPr>
        <w:t>economico e degli investimenti del dipartime</w:t>
      </w:r>
      <w:r w:rsidR="00DA4C0E">
        <w:rPr>
          <w:rFonts w:ascii="Garamond" w:eastAsia="Calibri" w:hAnsi="Garamond"/>
          <w:kern w:val="0"/>
          <w:lang w:eastAsia="en-US"/>
        </w:rPr>
        <w:t>nto di supporto amministrativo-</w:t>
      </w:r>
      <w:r w:rsidRPr="00D03C4A">
        <w:rPr>
          <w:rFonts w:ascii="Garamond" w:eastAsia="Calibri" w:hAnsi="Garamond"/>
          <w:kern w:val="0"/>
          <w:lang w:eastAsia="en-US"/>
        </w:rPr>
        <w:t xml:space="preserve">contabile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>.</w:t>
      </w:r>
    </w:p>
    <w:p w14:paraId="389F9F2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5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 xml:space="preserve">Al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compete l’esame delle istanze di adesione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successive alla costituzione formulate dai dipartimenti interessati, in relazione alla verifica della coerenza della partecipazione con le finalità e gli obiettivi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nonché dei contenuti di cui all’art. 2, </w:t>
      </w:r>
      <w:r w:rsidR="00F761D1" w:rsidRPr="00D03C4A">
        <w:rPr>
          <w:rFonts w:ascii="Garamond" w:hAnsi="Garamond"/>
          <w:sz w:val="24"/>
          <w:szCs w:val="24"/>
        </w:rPr>
        <w:t xml:space="preserve">comma </w:t>
      </w:r>
      <w:r w:rsidRPr="00D03C4A">
        <w:rPr>
          <w:rFonts w:ascii="Garamond" w:hAnsi="Garamond"/>
          <w:sz w:val="24"/>
          <w:szCs w:val="24"/>
        </w:rPr>
        <w:t>2</w:t>
      </w:r>
      <w:r w:rsidR="00F761D1" w:rsidRPr="00D03C4A">
        <w:rPr>
          <w:rFonts w:ascii="Garamond" w:hAnsi="Garamond"/>
          <w:sz w:val="24"/>
          <w:szCs w:val="24"/>
        </w:rPr>
        <w:t>,</w:t>
      </w:r>
      <w:r w:rsidRPr="00D03C4A">
        <w:rPr>
          <w:rFonts w:ascii="Garamond" w:hAnsi="Garamond"/>
          <w:sz w:val="24"/>
          <w:szCs w:val="24"/>
        </w:rPr>
        <w:t xml:space="preserve"> della presente intesa.</w:t>
      </w:r>
    </w:p>
    <w:p w14:paraId="5EA92D1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6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compete l’approvazione della partecipazione dei collaboratori di cui all’art. 2, </w:t>
      </w:r>
      <w:r w:rsidR="00F65EE6" w:rsidRPr="00D03C4A">
        <w:rPr>
          <w:rFonts w:ascii="Garamond" w:hAnsi="Garamond"/>
          <w:sz w:val="24"/>
          <w:szCs w:val="24"/>
        </w:rPr>
        <w:t xml:space="preserve">comma </w:t>
      </w:r>
      <w:r w:rsidRPr="00D03C4A">
        <w:rPr>
          <w:rFonts w:ascii="Garamond" w:hAnsi="Garamond"/>
          <w:sz w:val="24"/>
          <w:szCs w:val="24"/>
        </w:rPr>
        <w:t>6</w:t>
      </w:r>
      <w:r w:rsidR="00F65EE6" w:rsidRPr="00D03C4A">
        <w:rPr>
          <w:rFonts w:ascii="Garamond" w:hAnsi="Garamond"/>
          <w:sz w:val="24"/>
          <w:szCs w:val="24"/>
        </w:rPr>
        <w:t>,</w:t>
      </w:r>
      <w:r w:rsidRPr="00D03C4A">
        <w:rPr>
          <w:rFonts w:ascii="Garamond" w:hAnsi="Garamond"/>
          <w:sz w:val="24"/>
          <w:szCs w:val="24"/>
        </w:rPr>
        <w:t xml:space="preserve"> della presente intesa.</w:t>
      </w:r>
    </w:p>
    <w:p w14:paraId="1B331B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7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Annualmente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approva il programma di sviluppo e il piano annuale di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e redige una sintetica relazione consuntiva sulle attività svolte dal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nell’esercizio precedente, che sono trasmessi dal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 per opportuna conoscenza ai dipartimenti aderenti.</w:t>
      </w:r>
    </w:p>
    <w:p w14:paraId="12B4CE69" w14:textId="74EA16A1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8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Le riunioni ordinarie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sono convocate dal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, anche a mezzo posta elettronica, almeno </w:t>
      </w:r>
      <w:r w:rsidR="00FE6CCF">
        <w:rPr>
          <w:rFonts w:ascii="Garamond" w:hAnsi="Garamond"/>
          <w:sz w:val="24"/>
          <w:szCs w:val="24"/>
        </w:rPr>
        <w:t>cinque giorni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F72756">
        <w:rPr>
          <w:rFonts w:ascii="Garamond" w:hAnsi="Garamond"/>
          <w:sz w:val="24"/>
          <w:szCs w:val="24"/>
        </w:rPr>
        <w:t xml:space="preserve">lavorativi </w:t>
      </w:r>
      <w:r w:rsidRPr="00D03C4A">
        <w:rPr>
          <w:rFonts w:ascii="Garamond" w:hAnsi="Garamond"/>
          <w:sz w:val="24"/>
          <w:szCs w:val="24"/>
        </w:rPr>
        <w:t xml:space="preserve">prima della data della riunione. In caso di motivata urgenza le riunioni possono essere convocate con preavviso di almeno </w:t>
      </w:r>
      <w:r w:rsidR="00FE6CCF">
        <w:rPr>
          <w:rFonts w:ascii="Garamond" w:hAnsi="Garamond"/>
          <w:sz w:val="24"/>
          <w:szCs w:val="24"/>
        </w:rPr>
        <w:t xml:space="preserve">ventiquattro </w:t>
      </w:r>
      <w:r w:rsidRPr="00D03C4A">
        <w:rPr>
          <w:rFonts w:ascii="Garamond" w:hAnsi="Garamond"/>
          <w:sz w:val="24"/>
          <w:szCs w:val="24"/>
        </w:rPr>
        <w:t>ore.</w:t>
      </w:r>
    </w:p>
    <w:p w14:paraId="3D5F51FC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>9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Alle riunioni è ammessa la partecipazione anche in videoconferenza e comunque attraverso modalità che consentano l’identificazione certa dei partecipanti e un’effettiva interazione tra i componenti del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gestione. </w:t>
      </w:r>
    </w:p>
    <w:p w14:paraId="0CD90119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hAnsi="Garamond" w:cs="Arial"/>
        </w:rPr>
      </w:pPr>
      <w:r w:rsidRPr="00D03C4A">
        <w:rPr>
          <w:rFonts w:ascii="Garamond" w:eastAsia="Calibri" w:hAnsi="Garamond"/>
          <w:kern w:val="0"/>
          <w:lang w:eastAsia="en-US"/>
        </w:rPr>
        <w:lastRenderedPageBreak/>
        <w:t>10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Il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 può autorizzare la partecipazione alle riunioni dei collaboratori di cui all’art. 2, </w:t>
      </w:r>
      <w:r w:rsidR="00D65FF2" w:rsidRPr="00D03C4A">
        <w:rPr>
          <w:rFonts w:ascii="Garamond" w:eastAsia="Calibri" w:hAnsi="Garamond"/>
          <w:kern w:val="0"/>
          <w:lang w:eastAsia="en-US"/>
        </w:rPr>
        <w:t xml:space="preserve">comma </w:t>
      </w:r>
      <w:r w:rsidRPr="00D03C4A">
        <w:rPr>
          <w:rFonts w:ascii="Garamond" w:eastAsia="Calibri" w:hAnsi="Garamond"/>
          <w:kern w:val="0"/>
          <w:lang w:eastAsia="en-US"/>
        </w:rPr>
        <w:t>6. Prende parte alle riunioni il responsabile amministrativo del dipartimento di supporto amministrativo-contabile</w:t>
      </w:r>
      <w:r w:rsidRPr="00D03C4A">
        <w:rPr>
          <w:rFonts w:ascii="Garamond" w:hAnsi="Garamond" w:cs="Arial"/>
        </w:rPr>
        <w:t xml:space="preserve">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="00250D51" w:rsidRPr="00D03C4A">
        <w:rPr>
          <w:rFonts w:ascii="Garamond" w:hAnsi="Garamond" w:cs="Arial"/>
        </w:rPr>
        <w:t xml:space="preserve">, </w:t>
      </w:r>
      <w:r w:rsidR="003C7A54">
        <w:rPr>
          <w:rFonts w:ascii="Garamond" w:hAnsi="Garamond" w:cs="Arial"/>
        </w:rPr>
        <w:t>s</w:t>
      </w:r>
      <w:r w:rsidR="00250D51" w:rsidRPr="00D03C4A">
        <w:rPr>
          <w:rFonts w:ascii="Garamond" w:hAnsi="Garamond" w:cs="Arial"/>
        </w:rPr>
        <w:t xml:space="preserve">e </w:t>
      </w:r>
      <w:r w:rsidR="006528C9" w:rsidRPr="00D03C4A">
        <w:rPr>
          <w:rFonts w:ascii="Garamond" w:hAnsi="Garamond" w:cs="Arial"/>
        </w:rPr>
        <w:t xml:space="preserve">tale </w:t>
      </w:r>
      <w:r w:rsidR="00262B38" w:rsidRPr="00D03C4A">
        <w:rPr>
          <w:rFonts w:ascii="Garamond" w:hAnsi="Garamond" w:cs="Arial"/>
        </w:rPr>
        <w:t>posizione organizzativa</w:t>
      </w:r>
      <w:r w:rsidR="006528C9" w:rsidRPr="00D03C4A">
        <w:rPr>
          <w:rFonts w:ascii="Garamond" w:hAnsi="Garamond" w:cs="Arial"/>
        </w:rPr>
        <w:t xml:space="preserve"> </w:t>
      </w:r>
      <w:r w:rsidR="003C7A54">
        <w:rPr>
          <w:rFonts w:ascii="Garamond" w:hAnsi="Garamond" w:cs="Arial"/>
        </w:rPr>
        <w:t>è</w:t>
      </w:r>
      <w:r w:rsidR="006528C9" w:rsidRPr="00D03C4A">
        <w:rPr>
          <w:rFonts w:ascii="Garamond" w:hAnsi="Garamond" w:cs="Arial"/>
        </w:rPr>
        <w:t xml:space="preserve"> </w:t>
      </w:r>
      <w:r w:rsidR="00262B38" w:rsidRPr="00D03C4A">
        <w:rPr>
          <w:rFonts w:ascii="Garamond" w:hAnsi="Garamond" w:cs="Arial"/>
        </w:rPr>
        <w:t>attivata</w:t>
      </w:r>
      <w:r w:rsidR="00250D51" w:rsidRPr="00D03C4A">
        <w:rPr>
          <w:rFonts w:ascii="Garamond" w:hAnsi="Garamond" w:cs="Arial"/>
        </w:rPr>
        <w:t>, o il delegato del capo del servizio della scuola e dei relativi dipartimenti,</w:t>
      </w:r>
      <w:r w:rsidRPr="00D03C4A">
        <w:rPr>
          <w:rFonts w:ascii="Garamond" w:hAnsi="Garamond" w:cs="Arial"/>
        </w:rPr>
        <w:t xml:space="preserve"> </w:t>
      </w:r>
      <w:r w:rsidR="003C7A54">
        <w:rPr>
          <w:rFonts w:ascii="Garamond" w:hAnsi="Garamond" w:cs="Arial"/>
        </w:rPr>
        <w:t>s</w:t>
      </w:r>
      <w:r w:rsidR="006528C9" w:rsidRPr="00D03C4A">
        <w:rPr>
          <w:rFonts w:ascii="Garamond" w:hAnsi="Garamond" w:cs="Arial"/>
        </w:rPr>
        <w:t xml:space="preserve">e la suddetta </w:t>
      </w:r>
      <w:r w:rsidR="00262B38" w:rsidRPr="00D03C4A">
        <w:rPr>
          <w:rFonts w:ascii="Garamond" w:hAnsi="Garamond" w:cs="Arial"/>
        </w:rPr>
        <w:t>posizione organizzativa</w:t>
      </w:r>
      <w:r w:rsidR="003C7A54">
        <w:rPr>
          <w:rFonts w:ascii="Garamond" w:hAnsi="Garamond" w:cs="Arial"/>
        </w:rPr>
        <w:t xml:space="preserve"> non è</w:t>
      </w:r>
      <w:r w:rsidR="006528C9" w:rsidRPr="00D03C4A">
        <w:rPr>
          <w:rFonts w:ascii="Garamond" w:hAnsi="Garamond" w:cs="Arial"/>
        </w:rPr>
        <w:t xml:space="preserve"> </w:t>
      </w:r>
      <w:r w:rsidR="00262B38" w:rsidRPr="00D03C4A">
        <w:rPr>
          <w:rFonts w:ascii="Garamond" w:hAnsi="Garamond" w:cs="Arial"/>
        </w:rPr>
        <w:t>attiva</w:t>
      </w:r>
      <w:r w:rsidR="006528C9" w:rsidRPr="00D03C4A">
        <w:rPr>
          <w:rFonts w:ascii="Garamond" w:hAnsi="Garamond" w:cs="Arial"/>
        </w:rPr>
        <w:t xml:space="preserve">ta, </w:t>
      </w:r>
      <w:r w:rsidRPr="00D03C4A">
        <w:rPr>
          <w:rFonts w:ascii="Garamond" w:hAnsi="Garamond" w:cs="Arial"/>
        </w:rPr>
        <w:t>che svolge le funzioni di segretario verbalizzante.</w:t>
      </w:r>
    </w:p>
    <w:p w14:paraId="7C0BD9A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Le adunanze sono valide quando sia presente la maggioranza dei componenti, detratti gli assenti giustificati. Le deliberazioni sono prese a maggioranza assoluta dei presenti. In caso di parità prevale il voto del presidente. </w:t>
      </w:r>
    </w:p>
    <w:p w14:paraId="6DAA8129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verbali delle riunioni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sono redatti dal </w:t>
      </w:r>
      <w:r w:rsidR="0066770F" w:rsidRPr="00D03C4A">
        <w:rPr>
          <w:rFonts w:ascii="Garamond" w:hAnsi="Garamond"/>
          <w:sz w:val="24"/>
          <w:szCs w:val="24"/>
        </w:rPr>
        <w:t>responsabile amministrativo</w:t>
      </w:r>
      <w:r w:rsidRPr="00D03C4A">
        <w:rPr>
          <w:rFonts w:ascii="Garamond" w:hAnsi="Garamond"/>
          <w:sz w:val="24"/>
          <w:szCs w:val="24"/>
        </w:rPr>
        <w:t xml:space="preserve"> del dipartimento di supporto amministrativo-contabile</w:t>
      </w:r>
      <w:r w:rsidR="00823137" w:rsidRPr="00D03C4A">
        <w:rPr>
          <w:rFonts w:ascii="Garamond" w:hAnsi="Garamond" w:cs="Arial"/>
          <w:sz w:val="24"/>
          <w:szCs w:val="24"/>
        </w:rPr>
        <w:t xml:space="preserve">, </w:t>
      </w:r>
      <w:r w:rsidR="003C7A54">
        <w:rPr>
          <w:rFonts w:ascii="Garamond" w:hAnsi="Garamond" w:cs="Arial"/>
          <w:sz w:val="24"/>
          <w:szCs w:val="24"/>
        </w:rPr>
        <w:t>s</w:t>
      </w:r>
      <w:r w:rsidR="00823137" w:rsidRPr="00D03C4A">
        <w:rPr>
          <w:rFonts w:ascii="Garamond" w:hAnsi="Garamond" w:cs="Arial"/>
          <w:sz w:val="24"/>
          <w:szCs w:val="24"/>
        </w:rPr>
        <w:t xml:space="preserve">e tale </w:t>
      </w:r>
      <w:r w:rsidR="00BA6577" w:rsidRPr="00D03C4A">
        <w:rPr>
          <w:rFonts w:ascii="Garamond" w:hAnsi="Garamond" w:cs="Arial"/>
          <w:sz w:val="24"/>
          <w:szCs w:val="24"/>
        </w:rPr>
        <w:t>posizione organizzativa</w:t>
      </w:r>
      <w:r w:rsidR="00141993">
        <w:rPr>
          <w:rFonts w:ascii="Garamond" w:hAnsi="Garamond" w:cs="Arial"/>
          <w:sz w:val="24"/>
          <w:szCs w:val="24"/>
        </w:rPr>
        <w:t xml:space="preserve"> è</w:t>
      </w:r>
      <w:r w:rsidR="00823137" w:rsidRPr="00D03C4A">
        <w:rPr>
          <w:rFonts w:ascii="Garamond" w:hAnsi="Garamond" w:cs="Arial"/>
          <w:sz w:val="24"/>
          <w:szCs w:val="24"/>
        </w:rPr>
        <w:t xml:space="preserve"> attivat</w:t>
      </w:r>
      <w:r w:rsidR="00BA6577" w:rsidRPr="00D03C4A">
        <w:rPr>
          <w:rFonts w:ascii="Garamond" w:hAnsi="Garamond" w:cs="Arial"/>
          <w:sz w:val="24"/>
          <w:szCs w:val="24"/>
        </w:rPr>
        <w:t>a</w:t>
      </w:r>
      <w:r w:rsidR="00823137" w:rsidRPr="00D03C4A">
        <w:rPr>
          <w:rFonts w:ascii="Garamond" w:hAnsi="Garamond" w:cs="Arial"/>
          <w:sz w:val="24"/>
          <w:szCs w:val="24"/>
        </w:rPr>
        <w:t xml:space="preserve">, o da un suo delegato, oppure dal delegato del capo del servizio della scuola e dei relativi dipartimenti, </w:t>
      </w:r>
      <w:r w:rsidR="00141993">
        <w:rPr>
          <w:rFonts w:ascii="Garamond" w:hAnsi="Garamond" w:cs="Arial"/>
          <w:sz w:val="24"/>
          <w:szCs w:val="24"/>
        </w:rPr>
        <w:t>s</w:t>
      </w:r>
      <w:r w:rsidR="00823137" w:rsidRPr="00D03C4A">
        <w:rPr>
          <w:rFonts w:ascii="Garamond" w:hAnsi="Garamond" w:cs="Arial"/>
          <w:sz w:val="24"/>
          <w:szCs w:val="24"/>
        </w:rPr>
        <w:t xml:space="preserve">e </w:t>
      </w:r>
      <w:r w:rsidR="00BA6577" w:rsidRPr="00D03C4A">
        <w:rPr>
          <w:rFonts w:ascii="Garamond" w:hAnsi="Garamond" w:cs="Arial"/>
          <w:sz w:val="24"/>
          <w:szCs w:val="24"/>
        </w:rPr>
        <w:t>la</w:t>
      </w:r>
      <w:r w:rsidR="00823137" w:rsidRPr="00D03C4A">
        <w:rPr>
          <w:rFonts w:ascii="Garamond" w:hAnsi="Garamond" w:cs="Arial"/>
          <w:sz w:val="24"/>
          <w:szCs w:val="24"/>
        </w:rPr>
        <w:t xml:space="preserve"> suddett</w:t>
      </w:r>
      <w:r w:rsidR="00BA6577" w:rsidRPr="00D03C4A">
        <w:rPr>
          <w:rFonts w:ascii="Garamond" w:hAnsi="Garamond" w:cs="Arial"/>
          <w:sz w:val="24"/>
          <w:szCs w:val="24"/>
        </w:rPr>
        <w:t xml:space="preserve">a posizione organizzativa </w:t>
      </w:r>
      <w:r w:rsidR="00823137" w:rsidRPr="00D03C4A">
        <w:rPr>
          <w:rFonts w:ascii="Garamond" w:hAnsi="Garamond" w:cs="Arial"/>
          <w:sz w:val="24"/>
          <w:szCs w:val="24"/>
        </w:rPr>
        <w:t xml:space="preserve">non </w:t>
      </w:r>
      <w:r w:rsidR="00141993">
        <w:rPr>
          <w:rFonts w:ascii="Garamond" w:hAnsi="Garamond" w:cs="Arial"/>
          <w:sz w:val="24"/>
          <w:szCs w:val="24"/>
        </w:rPr>
        <w:t>è</w:t>
      </w:r>
      <w:r w:rsidR="00823137" w:rsidRPr="00D03C4A">
        <w:rPr>
          <w:rFonts w:ascii="Garamond" w:hAnsi="Garamond" w:cs="Arial"/>
          <w:sz w:val="24"/>
          <w:szCs w:val="24"/>
        </w:rPr>
        <w:t xml:space="preserve"> attivat</w:t>
      </w:r>
      <w:r w:rsidR="00BA6577" w:rsidRPr="00D03C4A">
        <w:rPr>
          <w:rFonts w:ascii="Garamond" w:hAnsi="Garamond" w:cs="Arial"/>
          <w:sz w:val="24"/>
          <w:szCs w:val="24"/>
        </w:rPr>
        <w:t>a</w:t>
      </w:r>
      <w:r w:rsidRPr="00D03C4A">
        <w:rPr>
          <w:rFonts w:ascii="Garamond" w:hAnsi="Garamond"/>
          <w:sz w:val="24"/>
          <w:szCs w:val="24"/>
        </w:rPr>
        <w:t>.</w:t>
      </w:r>
    </w:p>
    <w:p w14:paraId="4129EE7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>13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I dipartimenti aderenti convengono che le decisioni assunte dal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 per il tramite dei rappresentanti da loro designati impegnano e vincolano i dipartimenti stessi.</w:t>
      </w:r>
    </w:p>
    <w:p w14:paraId="00AE2CB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</w:p>
    <w:p w14:paraId="34F6280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trike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4. Gestione amministrativo-contabile e patrimoniale  </w:t>
      </w:r>
    </w:p>
    <w:p w14:paraId="626A22DB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  <w:kern w:val="0"/>
          <w:lang w:eastAsia="en-US"/>
        </w:rPr>
      </w:pPr>
      <w:r w:rsidRPr="00D03C4A">
        <w:rPr>
          <w:rFonts w:ascii="Garamond" w:eastAsia="Calibri" w:hAnsi="Garamond" w:cs="Arial"/>
          <w:kern w:val="0"/>
          <w:lang w:eastAsia="en-US"/>
        </w:rPr>
        <w:t>1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="002D3CAF" w:rsidRPr="00D03C4A">
        <w:rPr>
          <w:rFonts w:ascii="Garamond" w:eastAsia="Calibri" w:hAnsi="Garamond" w:cs="Arial"/>
        </w:rPr>
        <w:t>L</w:t>
      </w:r>
      <w:r w:rsidRPr="00D03C4A">
        <w:rPr>
          <w:rFonts w:ascii="Garamond" w:eastAsia="Calibri" w:hAnsi="Garamond" w:cs="Arial"/>
        </w:rPr>
        <w:t xml:space="preserve">e attività del </w:t>
      </w:r>
      <w:r w:rsidR="00DD29DD">
        <w:rPr>
          <w:rFonts w:ascii="Garamond" w:eastAsia="Calibri" w:hAnsi="Garamond" w:cs="Arial"/>
        </w:rPr>
        <w:t>c</w:t>
      </w:r>
      <w:r w:rsidR="00514EB3" w:rsidRPr="00D03C4A">
        <w:rPr>
          <w:rFonts w:ascii="Garamond" w:eastAsia="Calibri" w:hAnsi="Garamond" w:cs="Arial"/>
        </w:rPr>
        <w:t>entro</w:t>
      </w:r>
      <w:r w:rsidRPr="00D03C4A">
        <w:rPr>
          <w:rFonts w:ascii="Garamond" w:eastAsia="Calibri" w:hAnsi="Garamond" w:cs="Arial"/>
        </w:rPr>
        <w:t xml:space="preserve"> si svolgono negli spazi dei dipartimenti aderenti</w:t>
      </w:r>
      <w:r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</w:p>
    <w:p w14:paraId="1CC80523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</w:rPr>
      </w:pPr>
      <w:r w:rsidRPr="00D03C4A">
        <w:rPr>
          <w:rFonts w:ascii="Garamond" w:eastAsia="Calibri" w:hAnsi="Garamond" w:cs="Arial"/>
          <w:kern w:val="0"/>
          <w:lang w:eastAsia="en-US"/>
        </w:rPr>
        <w:t>2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Pr="00D03C4A">
        <w:rPr>
          <w:rFonts w:ascii="Garamond" w:eastAsia="Calibri" w:hAnsi="Garamond"/>
          <w:kern w:val="0"/>
          <w:lang w:eastAsia="en-US"/>
        </w:rPr>
        <w:t xml:space="preserve">Il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eastAsia="Calibri" w:hAnsi="Garamond"/>
        </w:rPr>
        <w:t xml:space="preserve">non ha autonomia amministrativa e gestionale e non ha un </w:t>
      </w:r>
      <w:r w:rsidRPr="004B300C">
        <w:rPr>
          <w:rFonts w:ascii="Garamond" w:eastAsia="Calibri" w:hAnsi="Garamond"/>
          <w:i/>
        </w:rPr>
        <w:t>budget</w:t>
      </w:r>
      <w:r w:rsidRPr="00D03C4A">
        <w:rPr>
          <w:rFonts w:ascii="Garamond" w:eastAsia="Calibri" w:hAnsi="Garamond"/>
        </w:rPr>
        <w:t xml:space="preserve"> economico e degli investimenti.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</w:p>
    <w:p w14:paraId="4079DC24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</w:rPr>
      </w:pPr>
      <w:r w:rsidRPr="00D03C4A">
        <w:rPr>
          <w:rFonts w:ascii="Garamond" w:eastAsia="Calibri" w:hAnsi="Garamond" w:cs="Arial"/>
        </w:rPr>
        <w:t>3</w:t>
      </w:r>
      <w:r w:rsidR="00C630B7" w:rsidRPr="00D03C4A">
        <w:rPr>
          <w:rFonts w:ascii="Garamond" w:eastAsia="Calibri" w:hAnsi="Garamond" w:cs="Arial"/>
        </w:rPr>
        <w:t>.</w:t>
      </w:r>
      <w:r w:rsidRPr="00D03C4A">
        <w:rPr>
          <w:rFonts w:ascii="Garamond" w:eastAsia="Calibri" w:hAnsi="Garamond" w:cs="Arial"/>
        </w:rPr>
        <w:t xml:space="preserve"> </w:t>
      </w:r>
      <w:r w:rsidRPr="00D03C4A">
        <w:rPr>
          <w:rFonts w:ascii="Garamond" w:eastAsia="Calibri" w:hAnsi="Garamond" w:cs="Arial"/>
          <w:kern w:val="0"/>
          <w:lang w:eastAsia="en-US"/>
        </w:rPr>
        <w:t>Il supporto amministrativo - contabile è fornito dal dipartimento</w:t>
      </w:r>
      <w:r w:rsidR="00632FA3"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Pr="00D03C4A">
        <w:rPr>
          <w:rFonts w:ascii="Garamond" w:eastAsia="Calibri" w:hAnsi="Garamond" w:cs="Arial"/>
          <w:kern w:val="0"/>
          <w:lang w:eastAsia="en-US"/>
        </w:rPr>
        <w:t>……………</w:t>
      </w:r>
      <w:proofErr w:type="gramStart"/>
      <w:r w:rsidRPr="00D03C4A">
        <w:rPr>
          <w:rFonts w:ascii="Garamond" w:eastAsia="Calibri" w:hAnsi="Garamond" w:cs="Arial"/>
          <w:kern w:val="0"/>
          <w:lang w:eastAsia="en-US"/>
        </w:rPr>
        <w:t>…….</w:t>
      </w:r>
      <w:proofErr w:type="gramEnd"/>
      <w:r w:rsidRPr="00D03C4A">
        <w:rPr>
          <w:rFonts w:ascii="Garamond" w:eastAsia="Calibri" w:hAnsi="Garamond" w:cs="Arial"/>
        </w:rPr>
        <w:t xml:space="preserve"> , cui compete anche la formulazione delle </w:t>
      </w:r>
      <w:r w:rsidRPr="00D03C4A">
        <w:rPr>
          <w:rFonts w:ascii="Garamond" w:eastAsia="Calibri" w:hAnsi="Garamond"/>
          <w:kern w:val="0"/>
          <w:lang w:eastAsia="en-US"/>
        </w:rPr>
        <w:t xml:space="preserve"> richieste di rilascio del </w:t>
      </w:r>
      <w:r w:rsidRPr="004B300C">
        <w:rPr>
          <w:rFonts w:ascii="Garamond" w:eastAsia="Calibri" w:hAnsi="Garamond"/>
          <w:i/>
          <w:kern w:val="0"/>
          <w:lang w:eastAsia="en-US"/>
        </w:rPr>
        <w:t>budget</w:t>
      </w:r>
      <w:r w:rsidRPr="00D03C4A">
        <w:rPr>
          <w:rFonts w:ascii="Garamond" w:eastAsia="Calibri" w:hAnsi="Garamond"/>
          <w:kern w:val="0"/>
          <w:lang w:eastAsia="en-US"/>
        </w:rPr>
        <w:t>.</w:t>
      </w:r>
    </w:p>
    <w:p w14:paraId="1DFF3569" w14:textId="57B0267D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 xml:space="preserve">4. L’utilizzo dei fondi di titolarità di un responsabile scientifico avviene su sua richiesta e autorizzazione; nel caso di fondi non direttamente riconducibili a un titolare l’utilizzo avviene su richiesta del </w:t>
      </w:r>
      <w:r w:rsidR="00B96263" w:rsidRPr="00D03C4A">
        <w:rPr>
          <w:rFonts w:ascii="Garamond" w:eastAsia="Calibri" w:hAnsi="Garamond"/>
          <w:kern w:val="0"/>
          <w:lang w:eastAsia="en-US"/>
        </w:rPr>
        <w:t>coordinatore/presidente</w:t>
      </w:r>
      <w:r w:rsidRPr="00D03C4A">
        <w:rPr>
          <w:rFonts w:ascii="Garamond" w:eastAsia="Calibri" w:hAnsi="Garamond"/>
          <w:kern w:val="0"/>
          <w:lang w:eastAsia="en-US"/>
        </w:rPr>
        <w:t xml:space="preserve">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e successiva autorizzazione del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gestione. La deliberazione o la determinazione a contrarre, a seconda dell’importo della spesa, è adottata, rispettivamente, dal consiglio del dipartimento di supporto amministrativo-contabile o dal dirigente</w:t>
      </w:r>
      <w:r w:rsidR="00250D51" w:rsidRPr="00D03C4A">
        <w:rPr>
          <w:rFonts w:ascii="Garamond" w:eastAsia="Calibri" w:hAnsi="Garamond"/>
          <w:kern w:val="0"/>
          <w:lang w:eastAsia="en-US"/>
        </w:rPr>
        <w:t xml:space="preserve"> </w:t>
      </w:r>
      <w:r w:rsidR="00E85428">
        <w:rPr>
          <w:rFonts w:ascii="Garamond" w:eastAsia="Calibri" w:hAnsi="Garamond"/>
          <w:kern w:val="0"/>
          <w:lang w:eastAsia="en-US"/>
        </w:rPr>
        <w:t>dell’area</w:t>
      </w:r>
      <w:r w:rsidRPr="00D03C4A">
        <w:rPr>
          <w:rFonts w:ascii="Garamond" w:eastAsia="Calibri" w:hAnsi="Garamond"/>
          <w:kern w:val="0"/>
          <w:lang w:eastAsia="en-US"/>
        </w:rPr>
        <w:t xml:space="preserve"> delle strutture fondamentali, </w:t>
      </w:r>
      <w:r w:rsidR="0037712B" w:rsidRPr="00D03C4A">
        <w:rPr>
          <w:rFonts w:ascii="Garamond" w:eastAsia="Calibri" w:hAnsi="Garamond"/>
          <w:kern w:val="0"/>
          <w:lang w:eastAsia="en-US"/>
        </w:rPr>
        <w:t xml:space="preserve">secondo 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quanto disposto </w:t>
      </w:r>
      <w:r w:rsidRPr="00D03C4A">
        <w:rPr>
          <w:rFonts w:ascii="Garamond" w:eastAsia="Calibri" w:hAnsi="Garamond"/>
          <w:kern w:val="0"/>
          <w:lang w:eastAsia="en-US"/>
        </w:rPr>
        <w:t>dal regolamento di Ateneo per l’amministrazione, la finanza e la contabilità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, dal relativo manuale </w:t>
      </w:r>
      <w:r w:rsidR="00F72756">
        <w:rPr>
          <w:rFonts w:ascii="Garamond" w:eastAsia="Calibri" w:hAnsi="Garamond"/>
          <w:kern w:val="0"/>
          <w:lang w:eastAsia="en-US"/>
        </w:rPr>
        <w:t xml:space="preserve">di contabilità 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nonché </w:t>
      </w:r>
      <w:r w:rsidRPr="00D03C4A">
        <w:rPr>
          <w:rFonts w:ascii="Garamond" w:eastAsia="Calibri" w:hAnsi="Garamond"/>
          <w:kern w:val="0"/>
          <w:lang w:eastAsia="en-US"/>
        </w:rPr>
        <w:t>da</w:t>
      </w:r>
      <w:r w:rsidR="0056194B" w:rsidRPr="00D03C4A">
        <w:rPr>
          <w:rFonts w:ascii="Garamond" w:eastAsia="Calibri" w:hAnsi="Garamond"/>
          <w:kern w:val="0"/>
          <w:lang w:eastAsia="en-US"/>
        </w:rPr>
        <w:t>gli indirizzi in materia degli organi di governo</w:t>
      </w:r>
      <w:r w:rsidRPr="00D03C4A">
        <w:rPr>
          <w:rFonts w:ascii="Garamond" w:eastAsia="Calibri" w:hAnsi="Garamond"/>
          <w:kern w:val="0"/>
          <w:lang w:eastAsia="en-US"/>
        </w:rPr>
        <w:t xml:space="preserve">. </w:t>
      </w:r>
    </w:p>
    <w:p w14:paraId="62B0B8EF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hAnsi="Garamond"/>
          <w:b/>
        </w:rPr>
      </w:pPr>
      <w:r w:rsidRPr="00D03C4A">
        <w:rPr>
          <w:rFonts w:ascii="Garamond" w:hAnsi="Garamond"/>
        </w:rPr>
        <w:t>5</w:t>
      </w:r>
      <w:r w:rsidR="00C630B7" w:rsidRPr="00D03C4A">
        <w:rPr>
          <w:rFonts w:ascii="Garamond" w:hAnsi="Garamond"/>
        </w:rPr>
        <w:t>.</w:t>
      </w:r>
      <w:r w:rsidRPr="00D03C4A">
        <w:rPr>
          <w:rFonts w:ascii="Garamond" w:hAnsi="Garamond"/>
        </w:rPr>
        <w:t xml:space="preserve"> Il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 non ha autonomia negoziale né patrimoniale; i contratti attivi sono stipulati dal direttore del dipartimento di supporto amministrativo-contabile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, su delega degli altri dipartimenti, e dal </w:t>
      </w:r>
      <w:r w:rsidR="00B96263" w:rsidRPr="00D03C4A">
        <w:rPr>
          <w:rFonts w:ascii="Garamond" w:hAnsi="Garamond"/>
        </w:rPr>
        <w:t>coordinatore/presidente</w:t>
      </w:r>
      <w:r w:rsidRPr="00D03C4A">
        <w:rPr>
          <w:rFonts w:ascii="Garamond" w:hAnsi="Garamond"/>
        </w:rPr>
        <w:t xml:space="preserve"> del </w:t>
      </w:r>
      <w:r w:rsidR="00C739FB">
        <w:rPr>
          <w:rFonts w:ascii="Garamond" w:hAnsi="Garamond"/>
        </w:rPr>
        <w:t>c</w:t>
      </w:r>
      <w:r w:rsidR="00217CE0" w:rsidRPr="00D03C4A">
        <w:rPr>
          <w:rFonts w:ascii="Garamond" w:hAnsi="Garamond"/>
        </w:rPr>
        <w:t>omitato</w:t>
      </w:r>
      <w:r w:rsidRPr="00D03C4A">
        <w:rPr>
          <w:rFonts w:ascii="Garamond" w:hAnsi="Garamond"/>
        </w:rPr>
        <w:t xml:space="preserve"> di gestione. Con l’adesione all’intesa i dipartimenti si danno reciprocamente atto che il dipartimento di supporto amministrativo</w:t>
      </w:r>
      <w:r w:rsidR="0071157D">
        <w:rPr>
          <w:rFonts w:ascii="Garamond" w:hAnsi="Garamond"/>
        </w:rPr>
        <w:t>-</w:t>
      </w:r>
      <w:r w:rsidRPr="00D03C4A">
        <w:rPr>
          <w:rFonts w:ascii="Garamond" w:hAnsi="Garamond"/>
        </w:rPr>
        <w:t xml:space="preserve">contabile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 è delegato a stipulare, in loro nome e conto, i contratti e le convenzioni attivi approvati dal </w:t>
      </w:r>
      <w:r w:rsidR="00C739FB">
        <w:rPr>
          <w:rFonts w:ascii="Garamond" w:hAnsi="Garamond"/>
        </w:rPr>
        <w:t>c</w:t>
      </w:r>
      <w:r w:rsidR="00217CE0" w:rsidRPr="00D03C4A">
        <w:rPr>
          <w:rFonts w:ascii="Garamond" w:hAnsi="Garamond"/>
        </w:rPr>
        <w:t>omitato</w:t>
      </w:r>
      <w:r w:rsidRPr="00D03C4A">
        <w:rPr>
          <w:rFonts w:ascii="Garamond" w:hAnsi="Garamond"/>
        </w:rPr>
        <w:t xml:space="preserve"> di gestione e sottoscritti, altresì, dal </w:t>
      </w:r>
      <w:r w:rsidR="00B96263" w:rsidRPr="00D03C4A">
        <w:rPr>
          <w:rFonts w:ascii="Garamond" w:hAnsi="Garamond"/>
        </w:rPr>
        <w:t>coordinatore/presidente</w:t>
      </w:r>
      <w:r w:rsidRPr="00D03C4A">
        <w:rPr>
          <w:rFonts w:ascii="Garamond" w:hAnsi="Garamond"/>
        </w:rPr>
        <w:t xml:space="preserve">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>.</w:t>
      </w:r>
    </w:p>
    <w:p w14:paraId="30B3A714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6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Eventuali beni inventariabili acquisiti con fondi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sono inventariati presso il dipartimento di supporto amministrativo-contabile con destinazione vincolata alle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e, allo scioglimento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sono ripartiti fra i dipartimenti aderenti secondo la deliberazione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o, in sua assenza, secondo l’accordo fra i suddetti dipartimenti.</w:t>
      </w:r>
    </w:p>
    <w:p w14:paraId="771D8693" w14:textId="77777777" w:rsidR="00632FA3" w:rsidRPr="00D03C4A" w:rsidRDefault="00632FA3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42C0AD3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5. Risorse</w:t>
      </w:r>
    </w:p>
    <w:p w14:paraId="74C1DB89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</w:rPr>
      </w:pPr>
      <w:r w:rsidRPr="00D03C4A">
        <w:rPr>
          <w:rFonts w:ascii="Garamond" w:eastAsia="Calibri" w:hAnsi="Garamond"/>
        </w:rPr>
        <w:t>1</w:t>
      </w:r>
      <w:r w:rsidR="00C630B7" w:rsidRPr="00D03C4A">
        <w:rPr>
          <w:rFonts w:ascii="Garamond" w:eastAsia="Calibri" w:hAnsi="Garamond"/>
        </w:rPr>
        <w:t>.</w:t>
      </w:r>
      <w:r w:rsidRPr="00D03C4A">
        <w:rPr>
          <w:rFonts w:ascii="Garamond" w:eastAsia="Calibri" w:hAnsi="Garamond"/>
        </w:rPr>
        <w:t xml:space="preserve"> Il </w:t>
      </w:r>
      <w:r w:rsidR="00DD29DD">
        <w:rPr>
          <w:rFonts w:ascii="Garamond" w:eastAsia="Calibri" w:hAnsi="Garamond"/>
        </w:rPr>
        <w:t>c</w:t>
      </w:r>
      <w:r w:rsidR="00514EB3" w:rsidRPr="00D03C4A">
        <w:rPr>
          <w:rFonts w:ascii="Garamond" w:eastAsia="Calibri" w:hAnsi="Garamond"/>
        </w:rPr>
        <w:t>entro</w:t>
      </w:r>
      <w:r w:rsidRPr="00D03C4A">
        <w:rPr>
          <w:rFonts w:ascii="Garamond" w:eastAsia="Calibri" w:hAnsi="Garamond"/>
        </w:rPr>
        <w:t xml:space="preserve"> </w:t>
      </w:r>
      <w:r w:rsidRPr="00D03C4A">
        <w:rPr>
          <w:rFonts w:ascii="Garamond" w:eastAsia="Calibri" w:hAnsi="Garamond"/>
          <w:kern w:val="0"/>
          <w:lang w:eastAsia="en-US"/>
        </w:rPr>
        <w:t xml:space="preserve">non è assegnatario di risorse finanziarie, umane e edilizie e si avvale delle risorse umane e materiali specificate </w:t>
      </w:r>
      <w:r w:rsidRPr="00D03C4A">
        <w:rPr>
          <w:rFonts w:ascii="Garamond" w:eastAsia="Calibri" w:hAnsi="Garamond" w:cs="Arial"/>
        </w:rPr>
        <w:t>nell’</w:t>
      </w:r>
      <w:r w:rsidRPr="00D03C4A">
        <w:rPr>
          <w:rFonts w:ascii="Garamond" w:eastAsia="Calibri" w:hAnsi="Garamond" w:cs="Arial"/>
          <w:b/>
        </w:rPr>
        <w:t xml:space="preserve">allegato A </w:t>
      </w:r>
      <w:r w:rsidRPr="00D03C4A">
        <w:rPr>
          <w:rFonts w:ascii="Garamond" w:eastAsia="Calibri" w:hAnsi="Garamond" w:cs="Arial"/>
        </w:rPr>
        <w:t>alla presente intesa e negli allegati agli eventuali atti aggiuntivi.</w:t>
      </w:r>
    </w:p>
    <w:p w14:paraId="4C101EB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2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si autofinanzia attraverso entrate correlate agli specifici progetti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derivanti da contributi di enti pubblici e privati e da contratti e convenzioni per attività di ricerca e in conto terzi. Le entrate sono introitate nel </w:t>
      </w:r>
      <w:r w:rsidRPr="004B300C">
        <w:rPr>
          <w:rFonts w:ascii="Garamond" w:hAnsi="Garamond" w:cs="Arial"/>
          <w:i/>
          <w:sz w:val="24"/>
          <w:szCs w:val="24"/>
        </w:rPr>
        <w:t>budget</w:t>
      </w:r>
      <w:r w:rsidRPr="00D03C4A">
        <w:rPr>
          <w:rFonts w:ascii="Garamond" w:hAnsi="Garamond" w:cs="Arial"/>
          <w:sz w:val="24"/>
          <w:szCs w:val="24"/>
        </w:rPr>
        <w:t xml:space="preserve"> economico e degli investimenti del </w:t>
      </w:r>
      <w:r w:rsidRPr="00D03C4A">
        <w:rPr>
          <w:rFonts w:ascii="Garamond" w:hAnsi="Garamond"/>
          <w:sz w:val="24"/>
          <w:szCs w:val="24"/>
        </w:rPr>
        <w:t xml:space="preserve">dipartimento di supporto amministrativo-contabile con destinazione vincolata alle finalità e alle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  <w:highlight w:val="yellow"/>
        </w:rPr>
        <w:t xml:space="preserve"> </w:t>
      </w:r>
    </w:p>
    <w:p w14:paraId="217632F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Allo scioglimento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le risorse finanziarie residue sono ripartite, nel rispetto della loro eventuale destinazione vincolata, fra i dipartimenti aderenti secondo la deliberazione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o, in sua assenza, secondo l’accordo fra i suddetti dipartimenti.</w:t>
      </w:r>
    </w:p>
    <w:p w14:paraId="4E8DC5D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FEC4F22" w14:textId="77777777" w:rsidR="004946E7" w:rsidRPr="00D03C4A" w:rsidRDefault="004946E7" w:rsidP="0042621B">
      <w:pPr>
        <w:keepNext/>
        <w:spacing w:after="0" w:line="23" w:lineRule="atLeast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lastRenderedPageBreak/>
        <w:t>Art.</w:t>
      </w:r>
      <w:r w:rsidRPr="00D03C4A">
        <w:rPr>
          <w:rFonts w:ascii="Garamond" w:hAnsi="Garamond"/>
          <w:b/>
          <w:bCs/>
          <w:sz w:val="24"/>
          <w:szCs w:val="24"/>
        </w:rPr>
        <w:t xml:space="preserve"> 6. Durata, rinnovo, scioglimento anticipato e recesso</w:t>
      </w:r>
    </w:p>
    <w:p w14:paraId="17A4866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La presente intesa decorre dalla data di stipulazione elettronica</w:t>
      </w:r>
      <w:r w:rsidR="00F50417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fino al …</w:t>
      </w:r>
      <w:proofErr w:type="gramStart"/>
      <w:r w:rsidRPr="00D03C4A">
        <w:rPr>
          <w:rFonts w:ascii="Garamond" w:hAnsi="Garamond"/>
          <w:sz w:val="24"/>
          <w:szCs w:val="24"/>
        </w:rPr>
        <w:t>…….</w:t>
      </w:r>
      <w:proofErr w:type="gramEnd"/>
      <w:r w:rsidRPr="00D03C4A">
        <w:rPr>
          <w:rFonts w:ascii="Garamond" w:hAnsi="Garamond"/>
          <w:sz w:val="24"/>
          <w:szCs w:val="24"/>
        </w:rPr>
        <w:t>…..… (</w:t>
      </w:r>
      <w:r w:rsidRPr="00D03C4A">
        <w:rPr>
          <w:rFonts w:ascii="Garamond" w:hAnsi="Garamond"/>
          <w:i/>
          <w:sz w:val="24"/>
          <w:szCs w:val="24"/>
        </w:rPr>
        <w:t>no</w:t>
      </w:r>
      <w:r w:rsidR="002044AF" w:rsidRPr="00D03C4A">
        <w:rPr>
          <w:rFonts w:ascii="Garamond" w:hAnsi="Garamond"/>
          <w:i/>
          <w:sz w:val="24"/>
          <w:szCs w:val="24"/>
        </w:rPr>
        <w:t xml:space="preserve">n oltre nove anni, ai sensi dell’art. 12 del </w:t>
      </w:r>
      <w:r w:rsidR="00C67246" w:rsidRPr="00D03C4A">
        <w:rPr>
          <w:rFonts w:ascii="Garamond" w:hAnsi="Garamond"/>
          <w:i/>
          <w:sz w:val="24"/>
          <w:szCs w:val="24"/>
        </w:rPr>
        <w:t>R.D. 2440/1923</w:t>
      </w:r>
      <w:r w:rsidRPr="00D03C4A">
        <w:rPr>
          <w:rFonts w:ascii="Garamond" w:hAnsi="Garamond"/>
          <w:sz w:val="24"/>
          <w:szCs w:val="24"/>
        </w:rPr>
        <w:t>).</w:t>
      </w:r>
    </w:p>
    <w:p w14:paraId="1DC4AFA1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può formulare motivata proposta di rinnovo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ai dipartimenti aderenti; la proposta è corredata dalla relazione sulle attività svolte. Il rinnovo è formalizzato con apposita intesa scritta tra i direttori dei dipartimenti aderenti, su delibera dei relativi consigli.</w:t>
      </w:r>
    </w:p>
    <w:p w14:paraId="1D926C49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3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recesso di un dipartimento è comunicato al </w:t>
      </w:r>
      <w:r w:rsidR="00B96263" w:rsidRPr="00D03C4A">
        <w:rPr>
          <w:rFonts w:ascii="Garamond" w:hAnsi="Garamond" w:cs="Arial"/>
          <w:sz w:val="24"/>
          <w:szCs w:val="24"/>
        </w:rPr>
        <w:t>coordinatore/presidente</w:t>
      </w:r>
      <w:r w:rsidRPr="00D03C4A">
        <w:rPr>
          <w:rFonts w:ascii="Garamond" w:hAnsi="Garamond" w:cs="Arial"/>
          <w:sz w:val="24"/>
          <w:szCs w:val="24"/>
        </w:rPr>
        <w:t xml:space="preserve">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con un preavviso di almeno </w:t>
      </w:r>
      <w:r w:rsidR="00472C82">
        <w:rPr>
          <w:rFonts w:ascii="Garamond" w:hAnsi="Garamond" w:cs="Arial"/>
          <w:sz w:val="24"/>
          <w:szCs w:val="24"/>
        </w:rPr>
        <w:t>tre</w:t>
      </w:r>
      <w:r w:rsidRPr="00D03C4A">
        <w:rPr>
          <w:rFonts w:ascii="Garamond" w:hAnsi="Garamond" w:cs="Arial"/>
          <w:sz w:val="24"/>
          <w:szCs w:val="24"/>
        </w:rPr>
        <w:t xml:space="preserve"> mesi ed è efficace </w:t>
      </w:r>
      <w:r w:rsidR="00472C82">
        <w:rPr>
          <w:rFonts w:ascii="Garamond" w:hAnsi="Garamond" w:cs="Arial"/>
          <w:sz w:val="24"/>
          <w:szCs w:val="24"/>
        </w:rPr>
        <w:t>a condizione</w:t>
      </w:r>
      <w:r w:rsidRPr="00D03C4A">
        <w:rPr>
          <w:rFonts w:ascii="Garamond" w:hAnsi="Garamond" w:cs="Arial"/>
          <w:sz w:val="24"/>
          <w:szCs w:val="24"/>
        </w:rPr>
        <w:t xml:space="preserve"> della presa d’atto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 e dell’assolvimento delle obbligazioni assunte nei confronti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>.</w:t>
      </w:r>
    </w:p>
    <w:p w14:paraId="1550FA39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4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può essere sciolto anticipatamente su mutuo consenso dei dipartimenti aderenti, formalizza</w:t>
      </w:r>
      <w:r w:rsidR="00370601">
        <w:rPr>
          <w:rFonts w:ascii="Garamond" w:hAnsi="Garamond" w:cs="Arial"/>
          <w:sz w:val="24"/>
          <w:szCs w:val="24"/>
        </w:rPr>
        <w:t>to</w:t>
      </w:r>
      <w:r w:rsidRPr="00D03C4A">
        <w:rPr>
          <w:rFonts w:ascii="Garamond" w:hAnsi="Garamond" w:cs="Arial"/>
          <w:sz w:val="24"/>
          <w:szCs w:val="24"/>
        </w:rPr>
        <w:t xml:space="preserve"> con atto sottoscritto dai direttori dei dipartimenti medesimi su delibera dei relativi consigli.</w:t>
      </w:r>
    </w:p>
    <w:p w14:paraId="5E9C1E0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5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Qualora sussistano gravi motivi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può essere sciolto anticipatamente con provvedimento del rettore, previa delibera del consiglio di amministrazione, sentito il senato accademico, anche su proposta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gestione.</w:t>
      </w:r>
    </w:p>
    <w:p w14:paraId="263974D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05437A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7. Risultati delle attività e diritti di proprietà intellettuale</w:t>
      </w:r>
    </w:p>
    <w:p w14:paraId="08C13A09" w14:textId="1BC17B14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assicura che sia dato adeguato risalto al contributo degli aderenti e ai relativi dipartimenti di afferenza coinvolti in progetti scientifici collaborativi oggetto delle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sia nelle pubblicazioni scientifiche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sia nelle relative comunicazioni verso l’esterno (partecipazioni congressuali e azioni divulgative e di formazione).</w:t>
      </w:r>
    </w:p>
    <w:p w14:paraId="77DC1154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valuta, sulla base degli effettivi apporti dei dipartimenti aderenti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l’opportunità di </w:t>
      </w:r>
      <w:r w:rsidR="007234A3">
        <w:rPr>
          <w:rFonts w:ascii="Garamond" w:hAnsi="Garamond"/>
          <w:sz w:val="24"/>
          <w:szCs w:val="24"/>
        </w:rPr>
        <w:t xml:space="preserve">avviare il </w:t>
      </w:r>
      <w:r w:rsidRPr="00D03C4A">
        <w:rPr>
          <w:rFonts w:ascii="Garamond" w:hAnsi="Garamond"/>
          <w:sz w:val="24"/>
          <w:szCs w:val="24"/>
        </w:rPr>
        <w:t>proced</w:t>
      </w:r>
      <w:r w:rsidR="007234A3">
        <w:rPr>
          <w:rFonts w:ascii="Garamond" w:hAnsi="Garamond"/>
          <w:sz w:val="24"/>
          <w:szCs w:val="24"/>
        </w:rPr>
        <w:t xml:space="preserve">imento di </w:t>
      </w:r>
      <w:r w:rsidRPr="00D03C4A">
        <w:rPr>
          <w:rFonts w:ascii="Garamond" w:hAnsi="Garamond"/>
          <w:sz w:val="24"/>
          <w:szCs w:val="24"/>
        </w:rPr>
        <w:t>deposito di eventuali brevetti concernenti i risultati o le invenzioni frutto dei progetti scientifici collaborativi, fermi restando i diritti riconosciuti dalla legge agli inventori.</w:t>
      </w:r>
    </w:p>
    <w:p w14:paraId="5091CE35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In ogni caso, salvo contraria pattuizione, la proprietà intellettuale relativa alle metodologie e agli studi, frutto dei progetti scientifici collaborativi, è riconosciuta sulla base dell’apporto di ciascun dipartimento aderente. Per quanto riguarda la proprietà dei prodotti, frutto dei progetti scientifici collaborativi, essa è oggetto di specifica pattuizione all’interno di specifici accordi tra i dipartimenti aderenti, nel rispetto dei regolamenti dell’Ateneo e del codice etico.</w:t>
      </w:r>
    </w:p>
    <w:p w14:paraId="04A0A97D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292D8E9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8. Sicurezza</w:t>
      </w:r>
    </w:p>
    <w:p w14:paraId="76981478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Allo scopo di dare attuazione a quanto previsto dal T.U. sulla sicurezza sul lavoro di cui al </w:t>
      </w:r>
      <w:r w:rsidR="008060BD">
        <w:rPr>
          <w:rFonts w:ascii="Garamond" w:hAnsi="Garamond"/>
          <w:sz w:val="24"/>
          <w:szCs w:val="24"/>
        </w:rPr>
        <w:t>D</w:t>
      </w:r>
      <w:r w:rsidRPr="00D03C4A">
        <w:rPr>
          <w:rFonts w:ascii="Garamond" w:hAnsi="Garamond"/>
          <w:sz w:val="24"/>
          <w:szCs w:val="24"/>
        </w:rPr>
        <w:t>.</w:t>
      </w:r>
      <w:r w:rsidR="008060BD">
        <w:rPr>
          <w:rFonts w:ascii="Garamond" w:hAnsi="Garamond"/>
          <w:sz w:val="24"/>
          <w:szCs w:val="24"/>
        </w:rPr>
        <w:t xml:space="preserve"> </w:t>
      </w:r>
      <w:r w:rsidR="00D46B98">
        <w:rPr>
          <w:rFonts w:ascii="Garamond" w:hAnsi="Garamond"/>
          <w:sz w:val="24"/>
          <w:szCs w:val="24"/>
        </w:rPr>
        <w:t xml:space="preserve">lgs. 9.4.2008, n. 81 e </w:t>
      </w:r>
      <w:proofErr w:type="spellStart"/>
      <w:r w:rsidR="00D46B98">
        <w:rPr>
          <w:rFonts w:ascii="Garamond" w:hAnsi="Garamond"/>
          <w:sz w:val="24"/>
          <w:szCs w:val="24"/>
        </w:rPr>
        <w:t>s.m</w:t>
      </w:r>
      <w:proofErr w:type="spellEnd"/>
      <w:r w:rsidR="00D46B98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, il direttore di ciascun dipartimento aderente assume, in veste di delegato del rettore (datore di lavoro), tutti gli oneri relativi all’applicazione delle norme in materia di salute e sicurezza sui luoghi di lavoro nei confronti del personale universitario, dei dottorandi di ricerca, degli assegnisti di ricerca e dei collaboratori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ospitati presso il dipartimento.  </w:t>
      </w:r>
    </w:p>
    <w:p w14:paraId="435637C7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5DA6B49E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9. Coperture assicurative</w:t>
      </w:r>
    </w:p>
    <w:p w14:paraId="5F6BFDBE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Ogni dipartimento aderente dà atto, per quanto di competenza, che il personale universitario, i dottorandi di ricerca, gli assegnisti di ricerca e i collaboratori che svolgono attività presso il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sono in regola con le coperture assicurative previste dalla vigente normativa.</w:t>
      </w:r>
    </w:p>
    <w:p w14:paraId="4CF254E3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Ciascun dipartimento aderente, per quanto di propria com</w:t>
      </w:r>
      <w:r w:rsidR="009A0E6D">
        <w:rPr>
          <w:rFonts w:ascii="Garamond" w:hAnsi="Garamond"/>
          <w:sz w:val="24"/>
          <w:szCs w:val="24"/>
        </w:rPr>
        <w:t>petenza, si impegna, altresì, a</w:t>
      </w:r>
      <w:r w:rsidRPr="00D03C4A">
        <w:rPr>
          <w:rFonts w:ascii="Garamond" w:hAnsi="Garamond"/>
          <w:sz w:val="24"/>
          <w:szCs w:val="24"/>
        </w:rPr>
        <w:t xml:space="preserve"> integrare le coperture assicurative di cui al precedente comma con quelle ulteriori che si rendessero eventualmente necessarie in relazione alle particolari esigenze poste dalle specifiche attività che </w:t>
      </w:r>
      <w:r w:rsidR="009A0E6D">
        <w:rPr>
          <w:rFonts w:ascii="Garamond" w:hAnsi="Garamond"/>
          <w:sz w:val="24"/>
          <w:szCs w:val="24"/>
        </w:rPr>
        <w:t>sa</w:t>
      </w:r>
      <w:r w:rsidRPr="00D03C4A">
        <w:rPr>
          <w:rFonts w:ascii="Garamond" w:hAnsi="Garamond"/>
          <w:sz w:val="24"/>
          <w:szCs w:val="24"/>
        </w:rPr>
        <w:t xml:space="preserve">ranno di volta in volta realizzate. </w:t>
      </w:r>
    </w:p>
    <w:p w14:paraId="76606A9C" w14:textId="77777777" w:rsidR="00095BEF" w:rsidRDefault="00095BEF" w:rsidP="0042621B">
      <w:pPr>
        <w:snapToGrid w:val="0"/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07AF73C4" w14:textId="38CEF381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03C4A">
        <w:rPr>
          <w:rFonts w:ascii="Garamond" w:hAnsi="Garamond"/>
          <w:b/>
          <w:sz w:val="24"/>
          <w:szCs w:val="24"/>
        </w:rPr>
        <w:t>Art. 10. Riservatezza</w:t>
      </w:r>
    </w:p>
    <w:p w14:paraId="70F8DDDF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dipartimenti si impegnano a non divulgare all’esterno dati, notizie, informazioni di carattere riservato eventualmente acquisite a seguito e in relazione alle attività oggetto del medesimo.</w:t>
      </w:r>
    </w:p>
    <w:p w14:paraId="1664B2A5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30261685" w14:textId="77777777" w:rsidR="004946E7" w:rsidRPr="00D03C4A" w:rsidRDefault="004946E7" w:rsidP="0042621B">
      <w:pPr>
        <w:keepNext/>
        <w:spacing w:after="0" w:line="23" w:lineRule="atLeast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lastRenderedPageBreak/>
        <w:t>Art.</w:t>
      </w:r>
      <w:r w:rsidRPr="00D03C4A">
        <w:rPr>
          <w:rFonts w:ascii="Garamond" w:hAnsi="Garamond"/>
          <w:b/>
          <w:bCs/>
          <w:sz w:val="24"/>
          <w:szCs w:val="24"/>
        </w:rPr>
        <w:t xml:space="preserve"> 11. Controversie</w:t>
      </w:r>
    </w:p>
    <w:p w14:paraId="403AB718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Cs/>
          <w:sz w:val="24"/>
          <w:szCs w:val="24"/>
        </w:rPr>
        <w:t>1</w:t>
      </w:r>
      <w:r w:rsidR="00C630B7" w:rsidRPr="00D03C4A">
        <w:rPr>
          <w:rFonts w:ascii="Garamond" w:hAnsi="Garamond"/>
          <w:bCs/>
          <w:sz w:val="24"/>
          <w:szCs w:val="24"/>
        </w:rPr>
        <w:t>.</w:t>
      </w:r>
      <w:r w:rsidRPr="00D03C4A">
        <w:rPr>
          <w:rFonts w:ascii="Garamond" w:hAnsi="Garamond"/>
          <w:bCs/>
          <w:sz w:val="24"/>
          <w:szCs w:val="24"/>
        </w:rPr>
        <w:t xml:space="preserve"> La risoluzione di ogni eventuale controversia fra i dipartimenti aderenti al </w:t>
      </w:r>
      <w:r w:rsidR="00DD29DD">
        <w:rPr>
          <w:rFonts w:ascii="Garamond" w:hAnsi="Garamond"/>
          <w:bCs/>
          <w:sz w:val="24"/>
          <w:szCs w:val="24"/>
        </w:rPr>
        <w:t>c</w:t>
      </w:r>
      <w:r w:rsidR="00514EB3" w:rsidRPr="00D03C4A">
        <w:rPr>
          <w:rFonts w:ascii="Garamond" w:hAnsi="Garamond"/>
          <w:bCs/>
          <w:sz w:val="24"/>
          <w:szCs w:val="24"/>
        </w:rPr>
        <w:t>entro</w:t>
      </w:r>
      <w:r w:rsidRPr="00D03C4A">
        <w:rPr>
          <w:rFonts w:ascii="Garamond" w:hAnsi="Garamond"/>
          <w:bCs/>
          <w:sz w:val="24"/>
          <w:szCs w:val="24"/>
        </w:rPr>
        <w:t xml:space="preserve"> che non possa essere risolta bonariamente tra le parti è rimessa agli organi di governo dell’Ateneo, secondo le rispettive competenze.</w:t>
      </w:r>
    </w:p>
    <w:p w14:paraId="278EF83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32D48642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Calibri"/>
          <w:b/>
          <w:sz w:val="24"/>
          <w:szCs w:val="24"/>
        </w:rPr>
      </w:pPr>
      <w:r w:rsidRPr="00D03C4A">
        <w:rPr>
          <w:rFonts w:ascii="Garamond" w:hAnsi="Garamond" w:cs="Calibri"/>
          <w:b/>
          <w:sz w:val="24"/>
          <w:szCs w:val="24"/>
        </w:rPr>
        <w:t>Art.12. Disposizioni finali</w:t>
      </w:r>
    </w:p>
    <w:p w14:paraId="1E2F61A1" w14:textId="77777777" w:rsidR="004946E7" w:rsidRDefault="004946E7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  <w:r w:rsidRPr="00D03C4A">
        <w:rPr>
          <w:rFonts w:ascii="Garamond" w:hAnsi="Garamond" w:cs="Calibri"/>
          <w:sz w:val="24"/>
          <w:szCs w:val="24"/>
        </w:rPr>
        <w:t>1</w:t>
      </w:r>
      <w:r w:rsidR="00C630B7" w:rsidRPr="00D03C4A">
        <w:rPr>
          <w:rFonts w:ascii="Garamond" w:hAnsi="Garamond" w:cs="Calibri"/>
          <w:sz w:val="24"/>
          <w:szCs w:val="24"/>
        </w:rPr>
        <w:t>.</w:t>
      </w:r>
      <w:r w:rsidRPr="00D03C4A">
        <w:rPr>
          <w:rFonts w:ascii="Garamond" w:hAnsi="Garamond" w:cs="Calibri"/>
          <w:sz w:val="24"/>
          <w:szCs w:val="24"/>
        </w:rPr>
        <w:t xml:space="preserve"> Per tutto quanto non disciplinato nella presente intesa si applicano lo Statuto e i regolamenti vigenti.</w:t>
      </w:r>
    </w:p>
    <w:p w14:paraId="1AC11430" w14:textId="77777777" w:rsidR="004C4A89" w:rsidRDefault="004C4A89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7C303FD7" w14:textId="77777777" w:rsidR="009D6900" w:rsidRDefault="009D6900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620E031B" w14:textId="77777777" w:rsidR="009D6900" w:rsidRDefault="009D6900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4E9A0125" w14:textId="77777777" w:rsidR="004C4A89" w:rsidRPr="00D03C4A" w:rsidRDefault="004C4A89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2212"/>
      </w:tblGrid>
      <w:tr w:rsidR="004946E7" w:rsidRPr="00D03C4A" w14:paraId="4624D65C" w14:textId="77777777" w:rsidTr="005E4FCB">
        <w:tc>
          <w:tcPr>
            <w:tcW w:w="7416" w:type="dxa"/>
          </w:tcPr>
          <w:p w14:paraId="052AB639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Luogo e data</w:t>
            </w:r>
          </w:p>
          <w:p w14:paraId="529D4AA6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745A701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391805A0" w14:textId="77777777" w:rsidTr="005E4FCB">
        <w:tc>
          <w:tcPr>
            <w:tcW w:w="7416" w:type="dxa"/>
          </w:tcPr>
          <w:p w14:paraId="0E40712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59417D98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407C124D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2D6E4E4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114C68D" w14:textId="77777777" w:rsidTr="005E4FCB">
        <w:tc>
          <w:tcPr>
            <w:tcW w:w="7416" w:type="dxa"/>
          </w:tcPr>
          <w:p w14:paraId="699C9C4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3823F868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56FD727D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41E14E7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50D1E222" w14:textId="77777777" w:rsidTr="005E4FCB">
        <w:tc>
          <w:tcPr>
            <w:tcW w:w="7416" w:type="dxa"/>
          </w:tcPr>
          <w:p w14:paraId="3511C08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0513C274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62179396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D85CB37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EDD146F" w14:textId="77777777" w:rsidR="004946E7" w:rsidRPr="00D03C4A" w:rsidRDefault="004946E7" w:rsidP="0042621B">
      <w:pPr>
        <w:spacing w:after="0" w:line="23" w:lineRule="atLeast"/>
        <w:rPr>
          <w:rFonts w:ascii="Garamond" w:hAnsi="Garamond"/>
          <w:b/>
          <w:sz w:val="24"/>
          <w:szCs w:val="24"/>
        </w:rPr>
      </w:pPr>
    </w:p>
    <w:p w14:paraId="2265B740" w14:textId="77777777" w:rsidR="004946E7" w:rsidRDefault="004C4A89" w:rsidP="000B46D0">
      <w:pPr>
        <w:spacing w:after="0" w:line="23" w:lineRule="atLeast"/>
        <w:ind w:left="7788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  <w:r w:rsidR="004946E7" w:rsidRPr="00D03C4A">
        <w:rPr>
          <w:rFonts w:ascii="Garamond" w:hAnsi="Garamond"/>
          <w:b/>
          <w:sz w:val="24"/>
          <w:szCs w:val="24"/>
        </w:rPr>
        <w:lastRenderedPageBreak/>
        <w:t>Allegato A</w:t>
      </w:r>
    </w:p>
    <w:p w14:paraId="3333CC52" w14:textId="77777777" w:rsidR="000B46D0" w:rsidRPr="00D03C4A" w:rsidRDefault="000B46D0" w:rsidP="000B46D0">
      <w:pPr>
        <w:spacing w:after="0" w:line="23" w:lineRule="atLeast"/>
        <w:ind w:left="7788" w:firstLine="708"/>
        <w:rPr>
          <w:rFonts w:ascii="Garamond" w:hAnsi="Garamond"/>
          <w:b/>
          <w:sz w:val="24"/>
          <w:szCs w:val="24"/>
        </w:rPr>
      </w:pPr>
    </w:p>
    <w:p w14:paraId="653236DC" w14:textId="77777777" w:rsidR="004946E7" w:rsidRPr="00D03C4A" w:rsidRDefault="004946E7" w:rsidP="0042621B">
      <w:pPr>
        <w:spacing w:after="0" w:line="23" w:lineRule="atLeast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Dipartimenti aderenti, risorse (umane e strumentali) e servizi da ciascuno messi a disposizione del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  <w:r w:rsidRPr="00D03C4A">
        <w:rPr>
          <w:rFonts w:ascii="Garamond" w:hAnsi="Garamond"/>
          <w:b/>
          <w:sz w:val="24"/>
          <w:szCs w:val="24"/>
        </w:rPr>
        <w:t xml:space="preserve"> all’atto della costituzione </w:t>
      </w:r>
    </w:p>
    <w:p w14:paraId="526F844A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1B32FA14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92"/>
      </w:tblGrid>
      <w:tr w:rsidR="004946E7" w:rsidRPr="00D03C4A" w14:paraId="4B1199F7" w14:textId="77777777">
        <w:tc>
          <w:tcPr>
            <w:tcW w:w="9778" w:type="dxa"/>
            <w:gridSpan w:val="2"/>
          </w:tcPr>
          <w:p w14:paraId="0DB09A06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>Dipartimento ……………………………………</w:t>
            </w:r>
            <w:proofErr w:type="gramStart"/>
            <w:r w:rsidRPr="00D03C4A">
              <w:rPr>
                <w:rFonts w:ascii="Garamond" w:hAnsi="Garamond" w:cs="Calibri"/>
                <w:sz w:val="24"/>
                <w:szCs w:val="24"/>
              </w:rPr>
              <w:t>…….</w:t>
            </w:r>
            <w:proofErr w:type="gramEnd"/>
          </w:p>
        </w:tc>
      </w:tr>
      <w:tr w:rsidR="004946E7" w:rsidRPr="00D03C4A" w14:paraId="7A29FEBA" w14:textId="77777777">
        <w:tc>
          <w:tcPr>
            <w:tcW w:w="4889" w:type="dxa"/>
          </w:tcPr>
          <w:p w14:paraId="7D4C850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7B973CE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4080C9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3D89A6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7A86A9C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30ED2F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1AC1187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7CD45E1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C48CFF0" w14:textId="77777777">
        <w:tc>
          <w:tcPr>
            <w:tcW w:w="4889" w:type="dxa"/>
          </w:tcPr>
          <w:p w14:paraId="381E214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Personale tecnico-amministrativo, dottorandi e assegnisti di ricerca </w:t>
            </w:r>
          </w:p>
          <w:p w14:paraId="76EF766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5B9F71C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EDC465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38365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2CC521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37572A1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4BBB48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ACBECD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2D60A2B" w14:textId="77777777">
        <w:tc>
          <w:tcPr>
            <w:tcW w:w="4889" w:type="dxa"/>
          </w:tcPr>
          <w:p w14:paraId="005E051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Risorse strumentali e percentuali di utilizzo</w:t>
            </w:r>
          </w:p>
          <w:p w14:paraId="31F5906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 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34B1ABD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F1A38F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4C0817B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D83E72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848C60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AE1A6D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DC9D3F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50E02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1B2F09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92"/>
      </w:tblGrid>
      <w:tr w:rsidR="004946E7" w:rsidRPr="00D03C4A" w14:paraId="2E784AD0" w14:textId="77777777">
        <w:tc>
          <w:tcPr>
            <w:tcW w:w="9778" w:type="dxa"/>
            <w:gridSpan w:val="2"/>
          </w:tcPr>
          <w:p w14:paraId="68C37BFB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 xml:space="preserve">Dipartimento …………………………………………. </w:t>
            </w:r>
          </w:p>
        </w:tc>
      </w:tr>
      <w:tr w:rsidR="004946E7" w:rsidRPr="00D03C4A" w14:paraId="7BFBF33B" w14:textId="77777777">
        <w:tc>
          <w:tcPr>
            <w:tcW w:w="4889" w:type="dxa"/>
          </w:tcPr>
          <w:p w14:paraId="57DAE65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03C3EDE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0E8A7D4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1F4D5C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8B9E39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6E5E2AB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2D9AAF0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2238E6D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06A4FEDF" w14:textId="77777777">
        <w:tc>
          <w:tcPr>
            <w:tcW w:w="4889" w:type="dxa"/>
          </w:tcPr>
          <w:p w14:paraId="0BAF22B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Personale tecnico-amministrativo, dottorandi e assegnisti di ricerca </w:t>
            </w:r>
          </w:p>
          <w:p w14:paraId="58D25DF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196C27D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6540819F" w14:textId="77777777" w:rsidR="004946E7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76B9A4E6" w14:textId="77777777" w:rsidR="009D6900" w:rsidRDefault="009D6900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AF7FA39" w14:textId="77777777" w:rsidR="009D6900" w:rsidRPr="00D03C4A" w:rsidRDefault="009D6900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2647417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16A817A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9A020D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1F1869F1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6C8A4ED9" w14:textId="77777777">
        <w:tc>
          <w:tcPr>
            <w:tcW w:w="4889" w:type="dxa"/>
          </w:tcPr>
          <w:p w14:paraId="02D26C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Risorse strumentali e percentuali di utilizzo </w:t>
            </w:r>
          </w:p>
          <w:p w14:paraId="5DAAB27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788D79A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68157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B182CB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9794D9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DA268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A82994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F3E1A7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FFD232" w14:textId="77777777" w:rsidR="004946E7" w:rsidRPr="00D03C4A" w:rsidRDefault="004946E7" w:rsidP="0042621B">
      <w:pPr>
        <w:spacing w:after="0" w:line="23" w:lineRule="atLeast"/>
        <w:rPr>
          <w:rFonts w:ascii="Garamond" w:hAnsi="Garamond"/>
          <w:sz w:val="24"/>
          <w:szCs w:val="24"/>
        </w:rPr>
      </w:pPr>
    </w:p>
    <w:p w14:paraId="412F8947" w14:textId="77777777" w:rsidR="004946E7" w:rsidRPr="00D03C4A" w:rsidRDefault="004946E7" w:rsidP="0042621B">
      <w:pPr>
        <w:spacing w:after="0" w:line="23" w:lineRule="atLeast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3"/>
      </w:tblGrid>
      <w:tr w:rsidR="004946E7" w:rsidRPr="00D03C4A" w14:paraId="6BCFFCBD" w14:textId="77777777">
        <w:tc>
          <w:tcPr>
            <w:tcW w:w="9778" w:type="dxa"/>
            <w:gridSpan w:val="2"/>
          </w:tcPr>
          <w:p w14:paraId="57B23CB6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>Dipartimento …………………………………</w:t>
            </w:r>
            <w:proofErr w:type="gramStart"/>
            <w:r w:rsidRPr="00D03C4A">
              <w:rPr>
                <w:rFonts w:ascii="Garamond" w:hAnsi="Garamond" w:cs="Calibri"/>
                <w:sz w:val="24"/>
                <w:szCs w:val="24"/>
              </w:rPr>
              <w:t>…….</w:t>
            </w:r>
            <w:proofErr w:type="gramEnd"/>
            <w:r w:rsidRPr="00D03C4A">
              <w:rPr>
                <w:rFonts w:ascii="Garamond" w:hAnsi="Garamond" w:cs="Calibri"/>
                <w:sz w:val="24"/>
                <w:szCs w:val="24"/>
              </w:rPr>
              <w:t>.</w:t>
            </w:r>
          </w:p>
        </w:tc>
      </w:tr>
      <w:tr w:rsidR="004946E7" w:rsidRPr="00D03C4A" w14:paraId="657747A4" w14:textId="77777777">
        <w:tc>
          <w:tcPr>
            <w:tcW w:w="4889" w:type="dxa"/>
          </w:tcPr>
          <w:p w14:paraId="251FCAB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4FB058E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3B4F2C8C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676CCB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3BA7E4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348AF482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1D2F81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2584748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4F1114BE" w14:textId="77777777">
        <w:tc>
          <w:tcPr>
            <w:tcW w:w="4889" w:type="dxa"/>
          </w:tcPr>
          <w:p w14:paraId="2C044E4C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Personale tecnico-amministrativo, dottorandi e assegnisti di ricerca </w:t>
            </w:r>
          </w:p>
          <w:p w14:paraId="3C3C8CC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79F19F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59268E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1CCF12C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10CB79C7" w14:textId="77777777">
        <w:tc>
          <w:tcPr>
            <w:tcW w:w="4889" w:type="dxa"/>
          </w:tcPr>
          <w:p w14:paraId="5D55A7C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Risorse strumentali e percentuali di utilizzo </w:t>
            </w:r>
          </w:p>
          <w:p w14:paraId="3A1310B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0875A4B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243BA3B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F05858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1DFFC7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8E4F6B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2DA6929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000FBE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90B70A7" w14:textId="77777777" w:rsidR="00E6043C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 </w:t>
      </w:r>
    </w:p>
    <w:p w14:paraId="76ED9AB2" w14:textId="77777777" w:rsidR="004946E7" w:rsidRPr="00D03C4A" w:rsidRDefault="00863465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 </w:t>
      </w:r>
    </w:p>
    <w:sectPr w:rsidR="004946E7" w:rsidRPr="00D03C4A" w:rsidSect="004946E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10A" w14:textId="77777777" w:rsidR="00C52AC6" w:rsidRDefault="00C52AC6" w:rsidP="004946E7">
      <w:pPr>
        <w:spacing w:after="0" w:line="240" w:lineRule="auto"/>
      </w:pPr>
      <w:r>
        <w:separator/>
      </w:r>
    </w:p>
  </w:endnote>
  <w:endnote w:type="continuationSeparator" w:id="0">
    <w:p w14:paraId="6F25896C" w14:textId="77777777" w:rsidR="00C52AC6" w:rsidRDefault="00C52AC6" w:rsidP="004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0EBA" w14:textId="77777777" w:rsidR="004946E7" w:rsidRDefault="004946E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662E9">
      <w:rPr>
        <w:noProof/>
      </w:rPr>
      <w:t>1</w:t>
    </w:r>
    <w:r>
      <w:fldChar w:fldCharType="end"/>
    </w:r>
  </w:p>
  <w:p w14:paraId="6372EA75" w14:textId="77777777" w:rsidR="004946E7" w:rsidRDefault="004946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8B50" w14:textId="77777777" w:rsidR="00C52AC6" w:rsidRDefault="00C52AC6" w:rsidP="004946E7">
      <w:pPr>
        <w:spacing w:after="0" w:line="240" w:lineRule="auto"/>
      </w:pPr>
      <w:r>
        <w:separator/>
      </w:r>
    </w:p>
  </w:footnote>
  <w:footnote w:type="continuationSeparator" w:id="0">
    <w:p w14:paraId="356CF975" w14:textId="77777777" w:rsidR="00C52AC6" w:rsidRDefault="00C52AC6" w:rsidP="0049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788"/>
    <w:multiLevelType w:val="hybridMultilevel"/>
    <w:tmpl w:val="824ACC00"/>
    <w:lvl w:ilvl="0" w:tplc="F88A6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2AAE"/>
    <w:multiLevelType w:val="hybridMultilevel"/>
    <w:tmpl w:val="0C7E9948"/>
    <w:lvl w:ilvl="0" w:tplc="F88A6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11967"/>
    <w:multiLevelType w:val="hybridMultilevel"/>
    <w:tmpl w:val="8B62CA8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FA4E7A"/>
    <w:multiLevelType w:val="hybridMultilevel"/>
    <w:tmpl w:val="25E89842"/>
    <w:lvl w:ilvl="0" w:tplc="A3DE1C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420A"/>
    <w:multiLevelType w:val="hybridMultilevel"/>
    <w:tmpl w:val="91FE3226"/>
    <w:lvl w:ilvl="0" w:tplc="05529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F6658"/>
    <w:multiLevelType w:val="hybridMultilevel"/>
    <w:tmpl w:val="0D085ABC"/>
    <w:lvl w:ilvl="0" w:tplc="F88A64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B1"/>
    <w:rsid w:val="0002627A"/>
    <w:rsid w:val="00074BF0"/>
    <w:rsid w:val="00092395"/>
    <w:rsid w:val="00095A74"/>
    <w:rsid w:val="00095BEF"/>
    <w:rsid w:val="000B46D0"/>
    <w:rsid w:val="000D5654"/>
    <w:rsid w:val="00107D5F"/>
    <w:rsid w:val="00141993"/>
    <w:rsid w:val="0016162D"/>
    <w:rsid w:val="001C11A5"/>
    <w:rsid w:val="002044AF"/>
    <w:rsid w:val="00217CE0"/>
    <w:rsid w:val="00222EF5"/>
    <w:rsid w:val="002367C7"/>
    <w:rsid w:val="00250D51"/>
    <w:rsid w:val="00253778"/>
    <w:rsid w:val="00262B38"/>
    <w:rsid w:val="002A4295"/>
    <w:rsid w:val="002B7185"/>
    <w:rsid w:val="002D3CAF"/>
    <w:rsid w:val="002F45F4"/>
    <w:rsid w:val="003017EB"/>
    <w:rsid w:val="0031331E"/>
    <w:rsid w:val="0036602B"/>
    <w:rsid w:val="00370601"/>
    <w:rsid w:val="0037712B"/>
    <w:rsid w:val="003C7A54"/>
    <w:rsid w:val="003E4E16"/>
    <w:rsid w:val="003E5ED5"/>
    <w:rsid w:val="00404D32"/>
    <w:rsid w:val="00413242"/>
    <w:rsid w:val="00414C7D"/>
    <w:rsid w:val="0042621B"/>
    <w:rsid w:val="00431910"/>
    <w:rsid w:val="00472C82"/>
    <w:rsid w:val="00474323"/>
    <w:rsid w:val="00476238"/>
    <w:rsid w:val="004946E7"/>
    <w:rsid w:val="004A19F0"/>
    <w:rsid w:val="004A4C95"/>
    <w:rsid w:val="004B300C"/>
    <w:rsid w:val="004C4A89"/>
    <w:rsid w:val="004D3B1E"/>
    <w:rsid w:val="004E001F"/>
    <w:rsid w:val="0050230E"/>
    <w:rsid w:val="00514EB3"/>
    <w:rsid w:val="005277FA"/>
    <w:rsid w:val="005558F8"/>
    <w:rsid w:val="0056194B"/>
    <w:rsid w:val="00570487"/>
    <w:rsid w:val="00574127"/>
    <w:rsid w:val="005820A6"/>
    <w:rsid w:val="005E4FCB"/>
    <w:rsid w:val="00614BE2"/>
    <w:rsid w:val="00617369"/>
    <w:rsid w:val="00632FA3"/>
    <w:rsid w:val="006528C9"/>
    <w:rsid w:val="0066770F"/>
    <w:rsid w:val="00671C8B"/>
    <w:rsid w:val="006A75C5"/>
    <w:rsid w:val="006B0F41"/>
    <w:rsid w:val="006C04FE"/>
    <w:rsid w:val="006C35EB"/>
    <w:rsid w:val="006C56B6"/>
    <w:rsid w:val="006F510A"/>
    <w:rsid w:val="007038E3"/>
    <w:rsid w:val="0071157D"/>
    <w:rsid w:val="007234A3"/>
    <w:rsid w:val="00725CF5"/>
    <w:rsid w:val="007271B1"/>
    <w:rsid w:val="00740C40"/>
    <w:rsid w:val="00744B21"/>
    <w:rsid w:val="007652D6"/>
    <w:rsid w:val="007662E9"/>
    <w:rsid w:val="007A165E"/>
    <w:rsid w:val="007A19AB"/>
    <w:rsid w:val="007A1B0F"/>
    <w:rsid w:val="008060BD"/>
    <w:rsid w:val="00823137"/>
    <w:rsid w:val="00863465"/>
    <w:rsid w:val="00880486"/>
    <w:rsid w:val="008A6FC4"/>
    <w:rsid w:val="008E4CCC"/>
    <w:rsid w:val="009016E2"/>
    <w:rsid w:val="0092245D"/>
    <w:rsid w:val="00925208"/>
    <w:rsid w:val="009308F2"/>
    <w:rsid w:val="00937341"/>
    <w:rsid w:val="0094521F"/>
    <w:rsid w:val="0099180C"/>
    <w:rsid w:val="009A0E6D"/>
    <w:rsid w:val="009A1AB9"/>
    <w:rsid w:val="009D41DC"/>
    <w:rsid w:val="009D6900"/>
    <w:rsid w:val="00A1480D"/>
    <w:rsid w:val="00A46262"/>
    <w:rsid w:val="00A60814"/>
    <w:rsid w:val="00A8235C"/>
    <w:rsid w:val="00AA0894"/>
    <w:rsid w:val="00AF0EA0"/>
    <w:rsid w:val="00B11586"/>
    <w:rsid w:val="00B151B4"/>
    <w:rsid w:val="00B24C87"/>
    <w:rsid w:val="00B56A43"/>
    <w:rsid w:val="00B63FE6"/>
    <w:rsid w:val="00B74DBF"/>
    <w:rsid w:val="00B96263"/>
    <w:rsid w:val="00BA6577"/>
    <w:rsid w:val="00BF04AF"/>
    <w:rsid w:val="00C0422F"/>
    <w:rsid w:val="00C213E6"/>
    <w:rsid w:val="00C413F5"/>
    <w:rsid w:val="00C52AC6"/>
    <w:rsid w:val="00C615B0"/>
    <w:rsid w:val="00C630B7"/>
    <w:rsid w:val="00C6614B"/>
    <w:rsid w:val="00C67246"/>
    <w:rsid w:val="00C739FB"/>
    <w:rsid w:val="00C756D7"/>
    <w:rsid w:val="00C9676B"/>
    <w:rsid w:val="00D03C4A"/>
    <w:rsid w:val="00D17727"/>
    <w:rsid w:val="00D46B98"/>
    <w:rsid w:val="00D65FF2"/>
    <w:rsid w:val="00D76225"/>
    <w:rsid w:val="00D76EB8"/>
    <w:rsid w:val="00DA4C0E"/>
    <w:rsid w:val="00DA7C51"/>
    <w:rsid w:val="00DB7679"/>
    <w:rsid w:val="00DD29DD"/>
    <w:rsid w:val="00E21F87"/>
    <w:rsid w:val="00E32FFB"/>
    <w:rsid w:val="00E43874"/>
    <w:rsid w:val="00E6043C"/>
    <w:rsid w:val="00E85428"/>
    <w:rsid w:val="00E86954"/>
    <w:rsid w:val="00E9416E"/>
    <w:rsid w:val="00EA5953"/>
    <w:rsid w:val="00EF584E"/>
    <w:rsid w:val="00F36B6D"/>
    <w:rsid w:val="00F47BFA"/>
    <w:rsid w:val="00F50417"/>
    <w:rsid w:val="00F65EE6"/>
    <w:rsid w:val="00F72756"/>
    <w:rsid w:val="00F761D1"/>
    <w:rsid w:val="00F80866"/>
    <w:rsid w:val="00FA4C67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96B4"/>
  <w15:chartTrackingRefBased/>
  <w15:docId w15:val="{AE37B3CC-27D5-4C94-8B21-DB70B9B3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0A5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B76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1B1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B76A9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uiPriority w:val="99"/>
    <w:semiHidden/>
    <w:unhideWhenUsed/>
    <w:rsid w:val="00B76A90"/>
    <w:rPr>
      <w:color w:val="0000FF"/>
      <w:u w:val="single"/>
    </w:rPr>
  </w:style>
  <w:style w:type="paragraph" w:customStyle="1" w:styleId="Contenutotabella">
    <w:name w:val="Contenuto tabella"/>
    <w:basedOn w:val="Normale"/>
    <w:rsid w:val="00C44CC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it-IT"/>
    </w:rPr>
  </w:style>
  <w:style w:type="character" w:customStyle="1" w:styleId="WW-Absatz-Standardschriftart">
    <w:name w:val="WW-Absatz-Standardschriftart"/>
    <w:rsid w:val="005B37B2"/>
  </w:style>
  <w:style w:type="table" w:styleId="Grigliatabella">
    <w:name w:val="Table Grid"/>
    <w:basedOn w:val="Tabellanormale"/>
    <w:uiPriority w:val="59"/>
    <w:rsid w:val="004D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C2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C2F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C2F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C2F28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C129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4D0B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Carpredefinitoparagrafo"/>
    <w:rsid w:val="00413242"/>
  </w:style>
  <w:style w:type="character" w:customStyle="1" w:styleId="eop">
    <w:name w:val="eop"/>
    <w:basedOn w:val="Carpredefinitoparagrafo"/>
    <w:rsid w:val="0041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2" ma:contentTypeDescription="Creare un nuovo documento." ma:contentTypeScope="" ma:versionID="f7292bff29bbc2a9b7b660480aa23818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41b093cf1be00bd8b81b3e37dfa46fd8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9797A-9EB6-49AD-8DEB-DB851E63F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382D4-9F58-4380-9131-EE89A095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2d6c-0797-49b3-a443-c35f1b3ddc57"/>
    <ds:schemaRef ds:uri="0f538941-dbd4-4d02-9b00-e29d655831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B33A3-1C01-401A-B2A5-02E462CECD1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f538941-dbd4-4d02-9b00-e29d655831f1"/>
    <ds:schemaRef ds:uri="http://purl.org/dc/terms/"/>
    <ds:schemaRef ds:uri="http://schemas.microsoft.com/sharepoint/v3/fields"/>
    <ds:schemaRef ds:uri="1d922d6c-0797-49b3-a443-c35f1b3ddc5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unige</dc:creator>
  <cp:keywords/>
  <cp:lastModifiedBy>Roberta Lombardi</cp:lastModifiedBy>
  <cp:revision>6</cp:revision>
  <cp:lastPrinted>2013-07-03T13:32:00Z</cp:lastPrinted>
  <dcterms:created xsi:type="dcterms:W3CDTF">2020-10-19T08:11:00Z</dcterms:created>
  <dcterms:modified xsi:type="dcterms:W3CDTF">2026-01-13T10:21:00Z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