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345C4" w14:textId="77777777"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degli OIV o </w:t>
      </w:r>
      <w:r w:rsidR="009A5646">
        <w:rPr>
          <w:rFonts w:ascii="Garamond" w:hAnsi="Garamond"/>
          <w:sz w:val="24"/>
          <w:szCs w:val="24"/>
        </w:rPr>
        <w:t>organismi con funzioni analoghe</w:t>
      </w:r>
    </w:p>
    <w:p w14:paraId="3C482AF3" w14:textId="77777777" w:rsidR="00B831DD" w:rsidRDefault="00B831DD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</w:p>
    <w:p w14:paraId="37A46F57" w14:textId="77777777"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14:paraId="3A5025E3" w14:textId="77777777" w:rsidR="009732CB" w:rsidRPr="009C6FAC" w:rsidRDefault="009732CB" w:rsidP="009732CB">
      <w:pPr>
        <w:pStyle w:val="Paragrafoelenco"/>
        <w:spacing w:line="276" w:lineRule="auto"/>
        <w:ind w:left="0" w:firstLine="0"/>
        <w:rPr>
          <w:rFonts w:ascii="Garamond" w:hAnsi="Garamond"/>
          <w:u w:val="single"/>
        </w:rPr>
      </w:pPr>
      <w:r w:rsidRPr="003F1D03">
        <w:rPr>
          <w:rFonts w:ascii="Garamond" w:hAnsi="Garamond"/>
        </w:rPr>
        <w:t xml:space="preserve">Dal </w:t>
      </w:r>
      <w:r w:rsidR="00B831DD">
        <w:rPr>
          <w:rFonts w:ascii="Garamond" w:hAnsi="Garamond"/>
        </w:rPr>
        <w:t>15</w:t>
      </w:r>
      <w:r w:rsidRPr="003F1D03">
        <w:rPr>
          <w:rFonts w:ascii="Garamond" w:hAnsi="Garamond"/>
        </w:rPr>
        <w:t>/0</w:t>
      </w:r>
      <w:r w:rsidR="00F27FE5" w:rsidRPr="003F1D03">
        <w:rPr>
          <w:rFonts w:ascii="Garamond" w:hAnsi="Garamond"/>
        </w:rPr>
        <w:t>6/2020</w:t>
      </w:r>
      <w:r w:rsidRPr="003F1D03">
        <w:rPr>
          <w:rFonts w:ascii="Garamond" w:hAnsi="Garamond"/>
        </w:rPr>
        <w:t xml:space="preserve"> al 3</w:t>
      </w:r>
      <w:r w:rsidR="00F27FE5" w:rsidRPr="003F1D03">
        <w:rPr>
          <w:rFonts w:ascii="Garamond" w:hAnsi="Garamond"/>
        </w:rPr>
        <w:t>0/06/2020</w:t>
      </w:r>
    </w:p>
    <w:p w14:paraId="2FCA41AB" w14:textId="77777777" w:rsidR="00C27B23" w:rsidRPr="009C6FAC" w:rsidRDefault="0048249A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Estensione della rilevazione (nel </w:t>
      </w:r>
      <w:r w:rsidR="00FC7906">
        <w:rPr>
          <w:rFonts w:ascii="Garamond" w:hAnsi="Garamond"/>
          <w:b/>
          <w:i/>
        </w:rPr>
        <w:t xml:space="preserve">solo </w:t>
      </w:r>
      <w:r w:rsidRPr="009C6FAC">
        <w:rPr>
          <w:rFonts w:ascii="Garamond" w:hAnsi="Garamond"/>
          <w:b/>
          <w:i/>
        </w:rPr>
        <w:t>caso di ammin</w:t>
      </w:r>
      <w:r w:rsidR="007A107C">
        <w:rPr>
          <w:rFonts w:ascii="Garamond" w:hAnsi="Garamond"/>
          <w:b/>
          <w:i/>
        </w:rPr>
        <w:t>istrazioni</w:t>
      </w:r>
      <w:r w:rsidR="00FC7906">
        <w:rPr>
          <w:rFonts w:ascii="Garamond" w:hAnsi="Garamond"/>
          <w:b/>
          <w:i/>
        </w:rPr>
        <w:t>/enti</w:t>
      </w:r>
      <w:r w:rsidR="007A107C">
        <w:rPr>
          <w:rFonts w:ascii="Garamond" w:hAnsi="Garamond"/>
          <w:b/>
          <w:i/>
        </w:rPr>
        <w:t xml:space="preserve"> con uffici periferici)</w:t>
      </w:r>
    </w:p>
    <w:p w14:paraId="7D460C8B" w14:textId="77777777" w:rsidR="00C27B23" w:rsidRPr="009C6FAC" w:rsidRDefault="00C27B23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</w:p>
    <w:p w14:paraId="035C1F05" w14:textId="77777777" w:rsidR="009732CB" w:rsidRPr="00713BFD" w:rsidRDefault="009732CB" w:rsidP="009732CB">
      <w:pPr>
        <w:tabs>
          <w:tab w:val="left" w:pos="0"/>
        </w:tabs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Non applicabile.</w:t>
      </w:r>
    </w:p>
    <w:p w14:paraId="001EB34D" w14:textId="77777777"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14:paraId="34D13218" w14:textId="1AFC4461" w:rsidR="009732CB" w:rsidRPr="007D1621" w:rsidRDefault="009732CB" w:rsidP="00586D82">
      <w:pPr>
        <w:autoSpaceDE w:val="0"/>
        <w:autoSpaceDN w:val="0"/>
        <w:adjustRightInd w:val="0"/>
        <w:spacing w:after="240" w:line="360" w:lineRule="auto"/>
        <w:rPr>
          <w:rFonts w:ascii="Garamond" w:hAnsi="Garamond"/>
        </w:rPr>
      </w:pPr>
      <w:r w:rsidRPr="007D1621">
        <w:rPr>
          <w:rFonts w:ascii="Garamond" w:hAnsi="Garamond"/>
        </w:rPr>
        <w:t xml:space="preserve">Come stabilito dalla Delibera A.N.A.C. n. </w:t>
      </w:r>
      <w:r>
        <w:rPr>
          <w:rFonts w:ascii="Garamond" w:hAnsi="Garamond"/>
        </w:rPr>
        <w:t>213/2020</w:t>
      </w:r>
      <w:r w:rsidRPr="007D1621">
        <w:rPr>
          <w:rFonts w:ascii="Garamond" w:hAnsi="Garamond"/>
        </w:rPr>
        <w:t>, ai fini della predisposizione dell</w:t>
      </w:r>
      <w:r w:rsidR="0083235B">
        <w:rPr>
          <w:rFonts w:ascii="Garamond" w:hAnsi="Garamond"/>
        </w:rPr>
        <w:t>’</w:t>
      </w:r>
      <w:r w:rsidRPr="007D1621">
        <w:rPr>
          <w:rFonts w:ascii="Garamond" w:hAnsi="Garamond"/>
        </w:rPr>
        <w:t>attestazione, l</w:t>
      </w:r>
      <w:r w:rsidR="0083235B">
        <w:rPr>
          <w:rFonts w:ascii="Garamond" w:hAnsi="Garamond"/>
        </w:rPr>
        <w:t>’</w:t>
      </w:r>
      <w:r w:rsidRPr="007D1621">
        <w:rPr>
          <w:rFonts w:ascii="Garamond" w:hAnsi="Garamond"/>
        </w:rPr>
        <w:t>OIV si avvale della collaborazione del Responsabile della Prevenzione della Corruzione e della Trasparenza, che nell</w:t>
      </w:r>
      <w:r w:rsidR="0083235B">
        <w:rPr>
          <w:rFonts w:ascii="Garamond" w:hAnsi="Garamond"/>
        </w:rPr>
        <w:t>’</w:t>
      </w:r>
      <w:r w:rsidRPr="007D1621">
        <w:rPr>
          <w:rFonts w:ascii="Garamond" w:hAnsi="Garamond"/>
        </w:rPr>
        <w:t>ambito dell</w:t>
      </w:r>
      <w:r w:rsidR="0083235B">
        <w:rPr>
          <w:rFonts w:ascii="Garamond" w:hAnsi="Garamond"/>
        </w:rPr>
        <w:t>’</w:t>
      </w:r>
      <w:r w:rsidRPr="007D1621">
        <w:rPr>
          <w:rFonts w:ascii="Garamond" w:hAnsi="Garamond"/>
        </w:rPr>
        <w:t xml:space="preserve">Ateneo genovese </w:t>
      </w:r>
      <w:r>
        <w:rPr>
          <w:rFonts w:ascii="Garamond" w:hAnsi="Garamond"/>
        </w:rPr>
        <w:t xml:space="preserve">ha operato dal 1 gennaio 2019 </w:t>
      </w:r>
      <w:r w:rsidRPr="007D1621">
        <w:rPr>
          <w:rFonts w:ascii="Garamond" w:hAnsi="Garamond"/>
        </w:rPr>
        <w:t>con il supporto del</w:t>
      </w:r>
      <w:r>
        <w:rPr>
          <w:rFonts w:ascii="Garamond" w:hAnsi="Garamond"/>
        </w:rPr>
        <w:t>l</w:t>
      </w:r>
      <w:r w:rsidR="0083235B">
        <w:rPr>
          <w:rFonts w:ascii="Garamond" w:hAnsi="Garamond"/>
        </w:rPr>
        <w:t>’</w:t>
      </w:r>
      <w:r>
        <w:rPr>
          <w:rFonts w:ascii="Garamond" w:hAnsi="Garamond"/>
        </w:rPr>
        <w:t>Ufficio Trasparenza, Anticorruzione e Privacy, istituito con l</w:t>
      </w:r>
      <w:r w:rsidR="0083235B">
        <w:rPr>
          <w:rFonts w:ascii="Garamond" w:hAnsi="Garamond"/>
        </w:rPr>
        <w:t>’</w:t>
      </w:r>
      <w:r>
        <w:rPr>
          <w:rFonts w:ascii="Garamond" w:hAnsi="Garamond"/>
        </w:rPr>
        <w:t xml:space="preserve">entrata in vigore </w:t>
      </w:r>
      <w:r w:rsidR="00F27FE5">
        <w:rPr>
          <w:rFonts w:ascii="Garamond" w:hAnsi="Garamond"/>
        </w:rPr>
        <w:t>del</w:t>
      </w:r>
      <w:r>
        <w:rPr>
          <w:rFonts w:ascii="Garamond" w:hAnsi="Garamond"/>
        </w:rPr>
        <w:t xml:space="preserve"> nuovo atto di organizzazione amministrativa e tecnica (D</w:t>
      </w:r>
      <w:r w:rsidR="0083235B">
        <w:rPr>
          <w:rFonts w:ascii="Garamond" w:hAnsi="Garamond"/>
        </w:rPr>
        <w:t>.</w:t>
      </w:r>
      <w:r>
        <w:rPr>
          <w:rFonts w:ascii="Garamond" w:hAnsi="Garamond"/>
        </w:rPr>
        <w:t>D</w:t>
      </w:r>
      <w:r w:rsidR="0083235B">
        <w:rPr>
          <w:rFonts w:ascii="Garamond" w:hAnsi="Garamond"/>
        </w:rPr>
        <w:t>.</w:t>
      </w:r>
      <w:r>
        <w:rPr>
          <w:rFonts w:ascii="Garamond" w:hAnsi="Garamond"/>
        </w:rPr>
        <w:t>G</w:t>
      </w:r>
      <w:bookmarkStart w:id="0" w:name="_GoBack"/>
      <w:r w:rsidR="0083235B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  <w:bookmarkEnd w:id="0"/>
      <w:r>
        <w:rPr>
          <w:rFonts w:ascii="Garamond" w:hAnsi="Garamond"/>
        </w:rPr>
        <w:t>6403 del 28/12/2018)</w:t>
      </w:r>
      <w:r w:rsidR="00F27FE5">
        <w:rPr>
          <w:rFonts w:ascii="Garamond" w:hAnsi="Garamond"/>
        </w:rPr>
        <w:t xml:space="preserve">. A tale ufficio sono state </w:t>
      </w:r>
      <w:r w:rsidRPr="005C21B4">
        <w:rPr>
          <w:rFonts w:ascii="Garamond" w:hAnsi="Garamond"/>
        </w:rPr>
        <w:t xml:space="preserve">assegnate </w:t>
      </w:r>
      <w:r w:rsidR="00033AF4">
        <w:rPr>
          <w:rFonts w:ascii="Garamond" w:hAnsi="Garamond"/>
        </w:rPr>
        <w:t xml:space="preserve">fino a tutto il 2019 </w:t>
      </w:r>
      <w:r w:rsidRPr="005C21B4">
        <w:rPr>
          <w:rFonts w:ascii="Garamond" w:hAnsi="Garamond"/>
        </w:rPr>
        <w:t>solo due unità di personale al 50% ciascuna, con il compito di supportare il Responsabile della Prevenzione della Corruzione e della Trasparenza nei diversi adempimenti</w:t>
      </w:r>
      <w:r w:rsidR="00586D82">
        <w:rPr>
          <w:rFonts w:ascii="Garamond" w:hAnsi="Garamond"/>
        </w:rPr>
        <w:t>.</w:t>
      </w:r>
    </w:p>
    <w:p w14:paraId="587B8122" w14:textId="45C00490" w:rsidR="009732CB" w:rsidRDefault="009732CB" w:rsidP="009732CB">
      <w:pPr>
        <w:autoSpaceDE w:val="0"/>
        <w:autoSpaceDN w:val="0"/>
        <w:adjustRightInd w:val="0"/>
        <w:spacing w:after="240" w:line="360" w:lineRule="auto"/>
        <w:rPr>
          <w:rFonts w:ascii="Garamond" w:hAnsi="Garamond"/>
        </w:rPr>
      </w:pPr>
      <w:r w:rsidRPr="007D1621">
        <w:rPr>
          <w:rFonts w:ascii="Garamond" w:hAnsi="Garamond"/>
        </w:rPr>
        <w:t>L</w:t>
      </w:r>
      <w:r w:rsidR="0083235B">
        <w:rPr>
          <w:rFonts w:ascii="Garamond" w:hAnsi="Garamond"/>
        </w:rPr>
        <w:t>’</w:t>
      </w:r>
      <w:r w:rsidRPr="007D1621">
        <w:rPr>
          <w:rFonts w:ascii="Garamond" w:hAnsi="Garamond"/>
        </w:rPr>
        <w:t>attestazione è stata svolta tramite le seguenti modalità di verifica:</w:t>
      </w:r>
    </w:p>
    <w:p w14:paraId="1515E958" w14:textId="77EB6511" w:rsidR="009732CB" w:rsidRPr="007D1621" w:rsidRDefault="009732CB" w:rsidP="009732CB">
      <w:pPr>
        <w:keepNext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ind w:left="284" w:hanging="284"/>
        <w:jc w:val="left"/>
        <w:rPr>
          <w:rFonts w:ascii="Garamond" w:hAnsi="Garamond"/>
        </w:rPr>
      </w:pPr>
      <w:r w:rsidRPr="007D1621">
        <w:rPr>
          <w:rFonts w:ascii="Garamond" w:hAnsi="Garamond"/>
        </w:rPr>
        <w:t>verifica dell</w:t>
      </w:r>
      <w:r w:rsidR="0083235B">
        <w:rPr>
          <w:rFonts w:ascii="Garamond" w:hAnsi="Garamond"/>
        </w:rPr>
        <w:t>’</w:t>
      </w:r>
      <w:r w:rsidRPr="007D1621">
        <w:rPr>
          <w:rFonts w:ascii="Garamond" w:hAnsi="Garamond"/>
        </w:rPr>
        <w:t>attività svolta dal Responsabile della Prevenzione della Corruzione e della Trasparenza per riscontrare l</w:t>
      </w:r>
      <w:r w:rsidR="0083235B">
        <w:rPr>
          <w:rFonts w:ascii="Garamond" w:hAnsi="Garamond"/>
        </w:rPr>
        <w:t>’</w:t>
      </w:r>
      <w:r w:rsidRPr="007D1621">
        <w:rPr>
          <w:rFonts w:ascii="Garamond" w:hAnsi="Garamond"/>
        </w:rPr>
        <w:t xml:space="preserve">adempimento degli obblighi di pubblicazione; </w:t>
      </w:r>
    </w:p>
    <w:p w14:paraId="04A58F58" w14:textId="77777777" w:rsidR="00033AF4" w:rsidRDefault="009732CB" w:rsidP="00033AF4">
      <w:pPr>
        <w:keepNext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ind w:left="284" w:hanging="284"/>
        <w:jc w:val="left"/>
        <w:rPr>
          <w:rFonts w:ascii="Garamond" w:hAnsi="Garamond"/>
        </w:rPr>
      </w:pPr>
      <w:r w:rsidRPr="001169CB">
        <w:rPr>
          <w:rFonts w:ascii="Garamond" w:hAnsi="Garamond"/>
        </w:rPr>
        <w:t xml:space="preserve">esame della documentazione relativa ai dati oggetto di attestazione; </w:t>
      </w:r>
    </w:p>
    <w:p w14:paraId="5E78C330" w14:textId="77777777" w:rsidR="009732CB" w:rsidRPr="00033AF4" w:rsidRDefault="009732CB" w:rsidP="00033AF4">
      <w:pPr>
        <w:keepNext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ind w:left="284" w:hanging="284"/>
        <w:jc w:val="left"/>
        <w:rPr>
          <w:rFonts w:ascii="Garamond" w:hAnsi="Garamond"/>
        </w:rPr>
      </w:pPr>
      <w:r w:rsidRPr="00033AF4">
        <w:rPr>
          <w:rFonts w:ascii="Garamond" w:hAnsi="Garamond"/>
        </w:rPr>
        <w:t>verifica sul sito istituzionale.</w:t>
      </w:r>
    </w:p>
    <w:p w14:paraId="59E4E652" w14:textId="77777777"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14:paraId="3D64C87B" w14:textId="7CA25102" w:rsidR="00F27FE5" w:rsidRDefault="00F27FE5" w:rsidP="00F27FE5">
      <w:pPr>
        <w:spacing w:line="360" w:lineRule="auto"/>
        <w:rPr>
          <w:rFonts w:ascii="Garamond" w:hAnsi="Garamond"/>
        </w:rPr>
      </w:pPr>
      <w:r w:rsidRPr="001E2A5C">
        <w:rPr>
          <w:rFonts w:ascii="Garamond" w:hAnsi="Garamond"/>
        </w:rPr>
        <w:t>Non emergono particolari criticità in merito alla pubblicazione dei dati richiesti dalla Griglia di rilevazione dell</w:t>
      </w:r>
      <w:r w:rsidR="0083235B">
        <w:rPr>
          <w:rFonts w:ascii="Garamond" w:hAnsi="Garamond"/>
        </w:rPr>
        <w:t>’</w:t>
      </w:r>
      <w:r w:rsidRPr="001E2A5C">
        <w:rPr>
          <w:rFonts w:ascii="Garamond" w:hAnsi="Garamond"/>
        </w:rPr>
        <w:t xml:space="preserve">A.N.A.C., in quanto essi risultano </w:t>
      </w:r>
      <w:r>
        <w:rPr>
          <w:rFonts w:ascii="Garamond" w:hAnsi="Garamond"/>
        </w:rPr>
        <w:t xml:space="preserve">nel complesso </w:t>
      </w:r>
      <w:r w:rsidRPr="001E2A5C">
        <w:rPr>
          <w:rFonts w:ascii="Garamond" w:hAnsi="Garamond"/>
        </w:rPr>
        <w:t>completi e aggiornati; tuttavia l</w:t>
      </w:r>
      <w:r w:rsidR="0083235B">
        <w:rPr>
          <w:rFonts w:ascii="Garamond" w:hAnsi="Garamond"/>
        </w:rPr>
        <w:t>’</w:t>
      </w:r>
      <w:r w:rsidRPr="001E2A5C">
        <w:rPr>
          <w:rFonts w:ascii="Garamond" w:hAnsi="Garamond"/>
        </w:rPr>
        <w:t xml:space="preserve">OIV rileva </w:t>
      </w:r>
      <w:r>
        <w:rPr>
          <w:rFonts w:ascii="Garamond" w:hAnsi="Garamond"/>
        </w:rPr>
        <w:t>quanto segue:</w:t>
      </w:r>
    </w:p>
    <w:p w14:paraId="5E6BF7B7" w14:textId="77777777" w:rsidR="00F27FE5" w:rsidRDefault="00F27FE5" w:rsidP="00F27FE5">
      <w:pPr>
        <w:pStyle w:val="Paragrafoelenco"/>
        <w:numPr>
          <w:ilvl w:val="0"/>
          <w:numId w:val="6"/>
        </w:num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P</w:t>
      </w:r>
      <w:r w:rsidRPr="00FE2817">
        <w:rPr>
          <w:rFonts w:ascii="Garamond" w:hAnsi="Garamond"/>
        </w:rPr>
        <w:t>resenza di formati non aperti e non elaborabili, quali le scansioni</w:t>
      </w:r>
      <w:r>
        <w:rPr>
          <w:rFonts w:ascii="Garamond" w:hAnsi="Garamond"/>
        </w:rPr>
        <w:t>;</w:t>
      </w:r>
    </w:p>
    <w:p w14:paraId="6F0B09EF" w14:textId="77777777" w:rsidR="00F27FE5" w:rsidRPr="00AA161E" w:rsidRDefault="00F27FE5" w:rsidP="00F27FE5">
      <w:pPr>
        <w:pStyle w:val="Paragrafoelenco"/>
        <w:numPr>
          <w:ilvl w:val="0"/>
          <w:numId w:val="6"/>
        </w:numPr>
        <w:rPr>
          <w:rFonts w:ascii="Garamond" w:hAnsi="Garamond"/>
        </w:rPr>
      </w:pPr>
      <w:r w:rsidRPr="00AA161E">
        <w:rPr>
          <w:rFonts w:ascii="Garamond" w:hAnsi="Garamond"/>
        </w:rPr>
        <w:t>Incompleta pubblicazione dei dati nella pagina “Servizi erogati/Costi contabilizzati”.</w:t>
      </w:r>
    </w:p>
    <w:p w14:paraId="15890997" w14:textId="77777777" w:rsidR="00B831DD" w:rsidRDefault="00B831DD" w:rsidP="00F27FE5">
      <w:pPr>
        <w:spacing w:line="360" w:lineRule="auto"/>
        <w:rPr>
          <w:rFonts w:ascii="Garamond" w:hAnsi="Garamond"/>
        </w:rPr>
      </w:pPr>
    </w:p>
    <w:p w14:paraId="4541B1C2" w14:textId="0935550C" w:rsidR="000807AC" w:rsidRDefault="00B831DD" w:rsidP="00F27FE5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I</w:t>
      </w:r>
      <w:r w:rsidR="00F27FE5" w:rsidRPr="001E2A5C">
        <w:rPr>
          <w:rFonts w:ascii="Garamond" w:hAnsi="Garamond"/>
        </w:rPr>
        <w:t>n merito alla criticità rilevata</w:t>
      </w:r>
      <w:r w:rsidR="00F27FE5">
        <w:rPr>
          <w:rFonts w:ascii="Garamond" w:hAnsi="Garamond"/>
        </w:rPr>
        <w:t xml:space="preserve"> al punto 1)</w:t>
      </w:r>
      <w:r w:rsidR="00F27FE5" w:rsidRPr="001E2A5C">
        <w:rPr>
          <w:rFonts w:ascii="Garamond" w:hAnsi="Garamond"/>
        </w:rPr>
        <w:t xml:space="preserve">, il Responsabile della Prevenzione della Corruzione e della Trasparenza dichiara che </w:t>
      </w:r>
      <w:r w:rsidR="00466809">
        <w:rPr>
          <w:rFonts w:ascii="Garamond" w:hAnsi="Garamond"/>
        </w:rPr>
        <w:t>anche per l</w:t>
      </w:r>
      <w:r w:rsidR="0083235B">
        <w:rPr>
          <w:rFonts w:ascii="Garamond" w:hAnsi="Garamond"/>
        </w:rPr>
        <w:t>’</w:t>
      </w:r>
      <w:r w:rsidR="00466809">
        <w:rPr>
          <w:rFonts w:ascii="Garamond" w:hAnsi="Garamond"/>
        </w:rPr>
        <w:t>anno in corso non è stato possibile realizzare</w:t>
      </w:r>
      <w:r w:rsidR="00F27FE5">
        <w:rPr>
          <w:rFonts w:ascii="Garamond" w:hAnsi="Garamond"/>
        </w:rPr>
        <w:t xml:space="preserve"> un </w:t>
      </w:r>
      <w:r w:rsidR="00F27FE5" w:rsidRPr="001E2A5C">
        <w:rPr>
          <w:rFonts w:ascii="Garamond" w:hAnsi="Garamond"/>
        </w:rPr>
        <w:t>progetto trasversale</w:t>
      </w:r>
      <w:r w:rsidR="00F27FE5">
        <w:rPr>
          <w:rFonts w:ascii="Garamond" w:hAnsi="Garamond"/>
        </w:rPr>
        <w:t xml:space="preserve"> </w:t>
      </w:r>
      <w:r w:rsidR="00466809">
        <w:rPr>
          <w:rFonts w:ascii="Garamond" w:hAnsi="Garamond"/>
        </w:rPr>
        <w:t xml:space="preserve">di </w:t>
      </w:r>
      <w:r w:rsidR="00F27FE5">
        <w:rPr>
          <w:rFonts w:ascii="Garamond" w:hAnsi="Garamond"/>
        </w:rPr>
        <w:t xml:space="preserve">estrazione dei dati oggetto di pubblicazione dai diversi software in uso in ateneo </w:t>
      </w:r>
      <w:r w:rsidR="00466809">
        <w:rPr>
          <w:rFonts w:ascii="Garamond" w:hAnsi="Garamond"/>
        </w:rPr>
        <w:t>e il successivo</w:t>
      </w:r>
      <w:r w:rsidR="00F27FE5">
        <w:rPr>
          <w:rFonts w:ascii="Garamond" w:hAnsi="Garamond"/>
        </w:rPr>
        <w:t xml:space="preserve"> riutilizzo </w:t>
      </w:r>
      <w:r w:rsidR="00466809">
        <w:rPr>
          <w:rFonts w:ascii="Garamond" w:hAnsi="Garamond"/>
        </w:rPr>
        <w:lastRenderedPageBreak/>
        <w:t xml:space="preserve">per la </w:t>
      </w:r>
      <w:r w:rsidR="00F27FE5" w:rsidRPr="001E2A5C">
        <w:rPr>
          <w:rFonts w:ascii="Garamond" w:hAnsi="Garamond"/>
        </w:rPr>
        <w:t>pubblicazione in formato “aperto”</w:t>
      </w:r>
      <w:r w:rsidR="00F27FE5">
        <w:rPr>
          <w:rFonts w:ascii="Garamond" w:hAnsi="Garamond"/>
        </w:rPr>
        <w:t xml:space="preserve">. </w:t>
      </w:r>
    </w:p>
    <w:p w14:paraId="044D3965" w14:textId="77777777" w:rsidR="00466809" w:rsidRDefault="00466809" w:rsidP="00F27FE5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Resta purtroppo ferma la necessità di firma autografa di documenti da parte di utenti/personale non dotato di firma digitale, in </w:t>
      </w:r>
      <w:r w:rsidR="009E0C98">
        <w:rPr>
          <w:rFonts w:ascii="Garamond" w:hAnsi="Garamond"/>
        </w:rPr>
        <w:t>particolare relativamente agli I</w:t>
      </w:r>
      <w:r>
        <w:rPr>
          <w:rFonts w:ascii="Garamond" w:hAnsi="Garamond"/>
        </w:rPr>
        <w:t>ncaric</w:t>
      </w:r>
      <w:r w:rsidR="009E0C98">
        <w:rPr>
          <w:rFonts w:ascii="Garamond" w:hAnsi="Garamond"/>
        </w:rPr>
        <w:t>hi di C</w:t>
      </w:r>
      <w:r>
        <w:rPr>
          <w:rFonts w:ascii="Garamond" w:hAnsi="Garamond"/>
        </w:rPr>
        <w:t>ollaborazione e consulenza.</w:t>
      </w:r>
    </w:p>
    <w:p w14:paraId="219F89F8" w14:textId="19C3DC3F" w:rsidR="00466809" w:rsidRDefault="00466809" w:rsidP="00F27FE5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Nelle more di </w:t>
      </w:r>
      <w:r w:rsidR="009968FB">
        <w:rPr>
          <w:rFonts w:ascii="Garamond" w:hAnsi="Garamond"/>
        </w:rPr>
        <w:t xml:space="preserve">valutare </w:t>
      </w:r>
      <w:r>
        <w:rPr>
          <w:rFonts w:ascii="Garamond" w:hAnsi="Garamond"/>
        </w:rPr>
        <w:t xml:space="preserve">e adottare </w:t>
      </w:r>
      <w:r w:rsidR="00F27FE5">
        <w:rPr>
          <w:rFonts w:ascii="Garamond" w:hAnsi="Garamond"/>
        </w:rPr>
        <w:t xml:space="preserve">un nuovo software specifico che consenta </w:t>
      </w:r>
      <w:r>
        <w:rPr>
          <w:rFonts w:ascii="Garamond" w:hAnsi="Garamond"/>
        </w:rPr>
        <w:t xml:space="preserve">la </w:t>
      </w:r>
      <w:r w:rsidR="000807AC">
        <w:rPr>
          <w:rFonts w:ascii="Garamond" w:hAnsi="Garamond"/>
        </w:rPr>
        <w:t>informatizzazione</w:t>
      </w:r>
      <w:r>
        <w:rPr>
          <w:rFonts w:ascii="Garamond" w:hAnsi="Garamond"/>
        </w:rPr>
        <w:t xml:space="preserve"> di tale processo e la conseguente </w:t>
      </w:r>
      <w:r w:rsidR="00F27FE5">
        <w:rPr>
          <w:rFonts w:ascii="Garamond" w:hAnsi="Garamond"/>
        </w:rPr>
        <w:t>uniformità e semplifica</w:t>
      </w:r>
      <w:r>
        <w:rPr>
          <w:rFonts w:ascii="Garamond" w:hAnsi="Garamond"/>
        </w:rPr>
        <w:t xml:space="preserve">zione di pubblicazione dei dati, si è provveduto, con la preziosa collaborazione del Capo servizio </w:t>
      </w:r>
      <w:r w:rsidR="00586D82">
        <w:rPr>
          <w:rFonts w:ascii="Garamond" w:hAnsi="Garamond"/>
        </w:rPr>
        <w:t>e-learning, multimedia e strumenti web a razionalizzare la pubblicazione dei numerosissimi incarichi, consentendo la presentazione in formato tabellare e la possibilità di ricerca per nome, per struttura o per anno di stipula, garantendo la realizzazione dell</w:t>
      </w:r>
      <w:r w:rsidR="0083235B">
        <w:rPr>
          <w:rFonts w:ascii="Garamond" w:hAnsi="Garamond"/>
        </w:rPr>
        <w:t>’</w:t>
      </w:r>
      <w:r w:rsidR="00586D82">
        <w:rPr>
          <w:rFonts w:ascii="Garamond" w:hAnsi="Garamond"/>
        </w:rPr>
        <w:t>obiettivo di massima trasparenza.</w:t>
      </w:r>
    </w:p>
    <w:p w14:paraId="007CC45E" w14:textId="77777777" w:rsidR="000807AC" w:rsidRDefault="00586D82" w:rsidP="00F27FE5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È ancora presente una piccola percentuale di incarichi incompleti di alcuni elementi richiesti, ma limitata a periodi </w:t>
      </w:r>
      <w:r w:rsidR="00D0084D">
        <w:rPr>
          <w:rFonts w:ascii="Garamond" w:hAnsi="Garamond"/>
        </w:rPr>
        <w:t xml:space="preserve">risalenti nel tempo </w:t>
      </w:r>
      <w:r w:rsidR="000807AC">
        <w:rPr>
          <w:rFonts w:ascii="Garamond" w:hAnsi="Garamond"/>
        </w:rPr>
        <w:t>per i quali risulta complicato il reperimento.</w:t>
      </w:r>
    </w:p>
    <w:p w14:paraId="4D85F262" w14:textId="77777777" w:rsidR="00F27FE5" w:rsidRDefault="00147F27" w:rsidP="00F27FE5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Tale criticità è presente anche relativamente alla pubblicazione di Atti di concessione della pagina “</w:t>
      </w:r>
      <w:r w:rsidRPr="00147F27">
        <w:rPr>
          <w:rFonts w:ascii="Garamond" w:hAnsi="Garamond"/>
        </w:rPr>
        <w:t>Sovvenzioni, contributi, sussidi, vantaggi economici</w:t>
      </w:r>
      <w:r>
        <w:rPr>
          <w:rFonts w:ascii="Garamond" w:hAnsi="Garamond"/>
        </w:rPr>
        <w:t>” in quanto a</w:t>
      </w:r>
      <w:r w:rsidRPr="00147F27">
        <w:rPr>
          <w:rFonts w:ascii="Garamond" w:hAnsi="Garamond"/>
        </w:rPr>
        <w:t>lcuni contributi sono concessi sulla base di accordi sottoscritti con firma autografa in periodi passati</w:t>
      </w:r>
      <w:r>
        <w:rPr>
          <w:rFonts w:ascii="Garamond" w:hAnsi="Garamond"/>
        </w:rPr>
        <w:t>,</w:t>
      </w:r>
      <w:r w:rsidRPr="00147F27">
        <w:rPr>
          <w:rFonts w:ascii="Garamond" w:hAnsi="Garamond"/>
        </w:rPr>
        <w:t xml:space="preserve"> pubblicabili quindi so</w:t>
      </w:r>
      <w:r>
        <w:rPr>
          <w:rFonts w:ascii="Garamond" w:hAnsi="Garamond"/>
        </w:rPr>
        <w:t>l</w:t>
      </w:r>
      <w:r w:rsidRPr="00147F27">
        <w:rPr>
          <w:rFonts w:ascii="Garamond" w:hAnsi="Garamond"/>
        </w:rPr>
        <w:t xml:space="preserve">o con scansione del documento. </w:t>
      </w:r>
    </w:p>
    <w:p w14:paraId="26B08833" w14:textId="373828D9" w:rsidR="009E0C98" w:rsidRPr="009E0C98" w:rsidRDefault="009E0C98" w:rsidP="009E0C98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Il Responsabile della Prevenzione della Corruzione e della Trasparenza fa presente che, sempre in relazione alla suddetta pagina, nella sezione “Criteri e modalità” s</w:t>
      </w:r>
      <w:r w:rsidRPr="009E0C98">
        <w:rPr>
          <w:rFonts w:ascii="Garamond" w:hAnsi="Garamond"/>
        </w:rPr>
        <w:t xml:space="preserve">ono </w:t>
      </w:r>
      <w:r>
        <w:rPr>
          <w:rFonts w:ascii="Garamond" w:hAnsi="Garamond"/>
        </w:rPr>
        <w:t>indicati</w:t>
      </w:r>
      <w:r w:rsidRPr="009E0C98">
        <w:rPr>
          <w:rFonts w:ascii="Garamond" w:hAnsi="Garamond"/>
        </w:rPr>
        <w:t xml:space="preserve"> i link ai benefici concessi dall</w:t>
      </w:r>
      <w:r w:rsidR="0083235B">
        <w:rPr>
          <w:rFonts w:ascii="Garamond" w:hAnsi="Garamond"/>
        </w:rPr>
        <w:t>’</w:t>
      </w:r>
      <w:r w:rsidRPr="009E0C98">
        <w:rPr>
          <w:rFonts w:ascii="Garamond" w:hAnsi="Garamond"/>
        </w:rPr>
        <w:t>Ateneo divisi per categoria di beneficiari (studenti/personale/poli didattici e decentrati)</w:t>
      </w:r>
      <w:r w:rsidR="00BC278D">
        <w:rPr>
          <w:rFonts w:ascii="Garamond" w:hAnsi="Garamond"/>
        </w:rPr>
        <w:t>.</w:t>
      </w:r>
      <w:r w:rsidRPr="009E0C98">
        <w:rPr>
          <w:rFonts w:ascii="Garamond" w:hAnsi="Garamond"/>
        </w:rPr>
        <w:t xml:space="preserve"> È presente il link a convenzioni in quanto i contributi al CUS (vedi elenco contributi enti) sono concessi in forza della convenzione con il CUSI</w:t>
      </w:r>
      <w:r w:rsidR="00D0084D">
        <w:rPr>
          <w:rFonts w:ascii="Garamond" w:hAnsi="Garamond"/>
        </w:rPr>
        <w:t>.</w:t>
      </w:r>
    </w:p>
    <w:p w14:paraId="5D65CF5D" w14:textId="77777777" w:rsidR="009E0C98" w:rsidRDefault="009E0C98" w:rsidP="00F27FE5">
      <w:pPr>
        <w:spacing w:line="360" w:lineRule="auto"/>
        <w:rPr>
          <w:rFonts w:ascii="Garamond" w:hAnsi="Garamond"/>
        </w:rPr>
      </w:pPr>
    </w:p>
    <w:p w14:paraId="25D0FD86" w14:textId="60B09515" w:rsidR="00147F27" w:rsidRPr="00147F27" w:rsidRDefault="00F27FE5" w:rsidP="00B831DD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 w:rsidRPr="001E2A5C">
        <w:rPr>
          <w:rFonts w:ascii="Garamond" w:hAnsi="Garamond"/>
        </w:rPr>
        <w:t>In merito alla criticità rilevata</w:t>
      </w:r>
      <w:r>
        <w:rPr>
          <w:rFonts w:ascii="Garamond" w:hAnsi="Garamond"/>
        </w:rPr>
        <w:t xml:space="preserve"> al punto 2)</w:t>
      </w:r>
      <w:r w:rsidRPr="001E2A5C">
        <w:rPr>
          <w:rFonts w:ascii="Garamond" w:hAnsi="Garamond"/>
        </w:rPr>
        <w:t>, il Responsabile della Prevenzione della Corruzione e della</w:t>
      </w:r>
      <w:r>
        <w:rPr>
          <w:rFonts w:ascii="Garamond" w:hAnsi="Garamond"/>
        </w:rPr>
        <w:t xml:space="preserve"> </w:t>
      </w:r>
      <w:r w:rsidRPr="00EA5A7B">
        <w:rPr>
          <w:rFonts w:ascii="Garamond" w:hAnsi="Garamond"/>
        </w:rPr>
        <w:t xml:space="preserve">Trasparenza </w:t>
      </w:r>
      <w:r w:rsidR="00147F27" w:rsidRPr="00EA5A7B">
        <w:rPr>
          <w:rFonts w:ascii="Garamond" w:hAnsi="Garamond"/>
        </w:rPr>
        <w:t>rappresenta che, pur avendo adottato la contabilità economico patrimoniale, l</w:t>
      </w:r>
      <w:r w:rsidR="0083235B">
        <w:rPr>
          <w:rFonts w:ascii="Garamond" w:hAnsi="Garamond"/>
        </w:rPr>
        <w:t>’</w:t>
      </w:r>
      <w:r w:rsidR="00147F27" w:rsidRPr="00EA5A7B">
        <w:rPr>
          <w:rFonts w:ascii="Garamond" w:hAnsi="Garamond"/>
        </w:rPr>
        <w:t xml:space="preserve">Ateneo non ha ad oggi implementato </w:t>
      </w:r>
      <w:r w:rsidR="005147F9" w:rsidRPr="00EA5A7B">
        <w:rPr>
          <w:rFonts w:ascii="Garamond" w:hAnsi="Garamond"/>
        </w:rPr>
        <w:t xml:space="preserve">in modo sistematizzato </w:t>
      </w:r>
      <w:r w:rsidR="00147F27" w:rsidRPr="00EA5A7B">
        <w:rPr>
          <w:rFonts w:ascii="Garamond" w:hAnsi="Garamond"/>
        </w:rPr>
        <w:t>il</w:t>
      </w:r>
      <w:r w:rsidR="00147F27" w:rsidRPr="00147F27">
        <w:rPr>
          <w:rFonts w:ascii="Garamond" w:hAnsi="Garamond"/>
        </w:rPr>
        <w:t xml:space="preserve"> controllo di gestione. Il sistema della contabilità analitica sul sistema contabile U-</w:t>
      </w:r>
      <w:proofErr w:type="spellStart"/>
      <w:r w:rsidR="00147F27" w:rsidRPr="00147F27">
        <w:rPr>
          <w:rFonts w:ascii="Garamond" w:hAnsi="Garamond"/>
        </w:rPr>
        <w:t>Gov</w:t>
      </w:r>
      <w:proofErr w:type="spellEnd"/>
      <w:r w:rsidR="00147F27" w:rsidRPr="00147F27">
        <w:rPr>
          <w:rFonts w:ascii="Garamond" w:hAnsi="Garamond"/>
        </w:rPr>
        <w:t xml:space="preserve"> è funzionale alla sola gestione del budget autorizzatorio e non consente di determinare il costo dei servizi erogati.</w:t>
      </w:r>
    </w:p>
    <w:p w14:paraId="5D9AD63E" w14:textId="1EDCC604" w:rsidR="004F49BA" w:rsidRDefault="00147F27" w:rsidP="00B831DD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 w:rsidRPr="00147F27">
        <w:rPr>
          <w:rFonts w:ascii="Garamond" w:hAnsi="Garamond"/>
        </w:rPr>
        <w:t xml:space="preserve">I costi </w:t>
      </w:r>
      <w:r w:rsidRPr="009E0C98">
        <w:rPr>
          <w:rFonts w:ascii="Garamond" w:hAnsi="Garamond"/>
        </w:rPr>
        <w:t>contabilizzati presenti in trasparenza si riferiscono agli anni 2013-2014-2018 e sono stati ottenuti dalle risultanze del progetto “</w:t>
      </w:r>
      <w:proofErr w:type="spellStart"/>
      <w:r w:rsidRPr="009E0C98">
        <w:rPr>
          <w:rFonts w:ascii="Garamond" w:hAnsi="Garamond"/>
        </w:rPr>
        <w:t>Good</w:t>
      </w:r>
      <w:proofErr w:type="spellEnd"/>
      <w:r w:rsidRPr="009E0C98">
        <w:rPr>
          <w:rFonts w:ascii="Garamond" w:hAnsi="Garamond"/>
        </w:rPr>
        <w:t xml:space="preserve"> </w:t>
      </w:r>
      <w:proofErr w:type="spellStart"/>
      <w:r w:rsidR="0083235B">
        <w:rPr>
          <w:rFonts w:ascii="Garamond" w:hAnsi="Garamond"/>
        </w:rPr>
        <w:t>P</w:t>
      </w:r>
      <w:r w:rsidRPr="009E0C98">
        <w:rPr>
          <w:rFonts w:ascii="Garamond" w:hAnsi="Garamond"/>
        </w:rPr>
        <w:t>ractice</w:t>
      </w:r>
      <w:proofErr w:type="spellEnd"/>
      <w:r w:rsidRPr="009E0C98">
        <w:rPr>
          <w:rFonts w:ascii="Garamond" w:hAnsi="Garamond"/>
        </w:rPr>
        <w:t xml:space="preserve">” sviluppato dal Politecnico di Milano, che ha consentito la rilevazione di tali dati, per i suddetti anni. Per gli anni </w:t>
      </w:r>
      <w:r w:rsidR="005147F9" w:rsidRPr="003102BE">
        <w:rPr>
          <w:rFonts w:ascii="Garamond" w:hAnsi="Garamond"/>
        </w:rPr>
        <w:t>intermedi</w:t>
      </w:r>
      <w:r w:rsidRPr="009E0C98">
        <w:rPr>
          <w:rFonts w:ascii="Garamond" w:hAnsi="Garamond"/>
        </w:rPr>
        <w:t xml:space="preserve">, </w:t>
      </w:r>
      <w:r w:rsidR="004F49BA">
        <w:rPr>
          <w:rFonts w:ascii="Garamond" w:hAnsi="Garamond"/>
        </w:rPr>
        <w:t>l</w:t>
      </w:r>
      <w:r w:rsidR="0083235B">
        <w:rPr>
          <w:rFonts w:ascii="Garamond" w:hAnsi="Garamond"/>
        </w:rPr>
        <w:t>’</w:t>
      </w:r>
      <w:r w:rsidR="004F49BA">
        <w:rPr>
          <w:rFonts w:ascii="Garamond" w:hAnsi="Garamond"/>
        </w:rPr>
        <w:t xml:space="preserve">Ateneo non ha </w:t>
      </w:r>
      <w:r w:rsidR="00B831DD">
        <w:rPr>
          <w:rFonts w:ascii="Garamond" w:hAnsi="Garamond"/>
        </w:rPr>
        <w:t xml:space="preserve">partecipato al progetto </w:t>
      </w:r>
      <w:proofErr w:type="spellStart"/>
      <w:r w:rsidR="004F49BA">
        <w:rPr>
          <w:rFonts w:ascii="Garamond" w:hAnsi="Garamond"/>
        </w:rPr>
        <w:t>Good</w:t>
      </w:r>
      <w:proofErr w:type="spellEnd"/>
      <w:r w:rsidR="004F49BA">
        <w:rPr>
          <w:rFonts w:ascii="Garamond" w:hAnsi="Garamond"/>
        </w:rPr>
        <w:t xml:space="preserve"> </w:t>
      </w:r>
      <w:proofErr w:type="spellStart"/>
      <w:r w:rsidR="004F49BA">
        <w:rPr>
          <w:rFonts w:ascii="Garamond" w:hAnsi="Garamond"/>
        </w:rPr>
        <w:t>Practice</w:t>
      </w:r>
      <w:proofErr w:type="spellEnd"/>
      <w:r w:rsidR="004F49BA">
        <w:rPr>
          <w:rFonts w:ascii="Garamond" w:hAnsi="Garamond"/>
        </w:rPr>
        <w:t xml:space="preserve"> mentre per l</w:t>
      </w:r>
      <w:r w:rsidR="0083235B">
        <w:rPr>
          <w:rFonts w:ascii="Garamond" w:hAnsi="Garamond"/>
        </w:rPr>
        <w:t>’</w:t>
      </w:r>
      <w:r w:rsidR="004F49BA">
        <w:rPr>
          <w:rFonts w:ascii="Garamond" w:hAnsi="Garamond"/>
        </w:rPr>
        <w:t>anno 2019</w:t>
      </w:r>
      <w:r w:rsidR="00B831DD">
        <w:rPr>
          <w:rFonts w:ascii="Garamond" w:hAnsi="Garamond"/>
        </w:rPr>
        <w:t xml:space="preserve"> </w:t>
      </w:r>
      <w:r w:rsidR="004F49BA">
        <w:rPr>
          <w:rFonts w:ascii="Garamond" w:hAnsi="Garamond"/>
        </w:rPr>
        <w:t xml:space="preserve">si </w:t>
      </w:r>
      <w:r w:rsidR="00344101">
        <w:rPr>
          <w:rFonts w:ascii="Garamond" w:hAnsi="Garamond"/>
        </w:rPr>
        <w:t>è ritenuto opportuno rimandare l</w:t>
      </w:r>
      <w:r w:rsidR="0083235B">
        <w:rPr>
          <w:rFonts w:ascii="Garamond" w:hAnsi="Garamond"/>
        </w:rPr>
        <w:t>’</w:t>
      </w:r>
      <w:r w:rsidR="00344101">
        <w:rPr>
          <w:rFonts w:ascii="Garamond" w:hAnsi="Garamond"/>
        </w:rPr>
        <w:t xml:space="preserve">attività </w:t>
      </w:r>
      <w:r w:rsidR="004F49BA">
        <w:rPr>
          <w:rFonts w:ascii="Garamond" w:hAnsi="Garamond"/>
        </w:rPr>
        <w:t>all</w:t>
      </w:r>
      <w:r w:rsidR="0083235B">
        <w:rPr>
          <w:rFonts w:ascii="Garamond" w:hAnsi="Garamond"/>
        </w:rPr>
        <w:t>’</w:t>
      </w:r>
      <w:r w:rsidR="00B831DD">
        <w:rPr>
          <w:rFonts w:ascii="Garamond" w:hAnsi="Garamond"/>
        </w:rPr>
        <w:t>anno successivo, anche in considerazione della intervenuta riorganizzazione e della recente emergenza sanitaria, che avrebbero reso ulteriormente gravosa la rilevazione dell</w:t>
      </w:r>
      <w:r w:rsidR="0083235B">
        <w:rPr>
          <w:rFonts w:ascii="Garamond" w:hAnsi="Garamond"/>
        </w:rPr>
        <w:t>’</w:t>
      </w:r>
      <w:r w:rsidR="00B831DD">
        <w:rPr>
          <w:rFonts w:ascii="Garamond" w:hAnsi="Garamond"/>
        </w:rPr>
        <w:t>efficienza prevista dal progetto</w:t>
      </w:r>
      <w:r w:rsidR="004F49BA">
        <w:rPr>
          <w:rFonts w:ascii="Garamond" w:hAnsi="Garamond"/>
        </w:rPr>
        <w:t>.</w:t>
      </w:r>
    </w:p>
    <w:p w14:paraId="1819FD31" w14:textId="77777777" w:rsidR="000807AC" w:rsidRDefault="000807AC" w:rsidP="000408DC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Il </w:t>
      </w:r>
      <w:r w:rsidR="00AE4721" w:rsidRPr="001E2A5C">
        <w:rPr>
          <w:rFonts w:ascii="Garamond" w:hAnsi="Garamond"/>
        </w:rPr>
        <w:t>Responsabile della Prevenzione della Corruzione e della</w:t>
      </w:r>
      <w:r w:rsidR="00AE4721">
        <w:rPr>
          <w:rFonts w:ascii="Garamond" w:hAnsi="Garamond"/>
        </w:rPr>
        <w:t xml:space="preserve"> Trasparenza</w:t>
      </w:r>
      <w:r>
        <w:rPr>
          <w:rFonts w:ascii="Garamond" w:hAnsi="Garamond"/>
        </w:rPr>
        <w:t xml:space="preserve"> ricorda che la</w:t>
      </w:r>
      <w:r w:rsidRPr="007965CB">
        <w:rPr>
          <w:rFonts w:ascii="Garamond" w:hAnsi="Garamond"/>
        </w:rPr>
        <w:t xml:space="preserve"> competenza del coordinamento e del supporto per la redazione della Carta dei servizi di Ateneo è stata affidata, con il </w:t>
      </w:r>
      <w:r w:rsidRPr="007965CB">
        <w:rPr>
          <w:rFonts w:ascii="Garamond" w:hAnsi="Garamond"/>
        </w:rPr>
        <w:lastRenderedPageBreak/>
        <w:t>D.D.G n. 1767 del 4/5/2018, al Servizio informazione istituzionale</w:t>
      </w:r>
      <w:r w:rsidR="000408DC">
        <w:rPr>
          <w:rFonts w:ascii="Garamond" w:hAnsi="Garamond"/>
        </w:rPr>
        <w:t xml:space="preserve">. La prima versione </w:t>
      </w:r>
      <w:r w:rsidR="00BC278D">
        <w:rPr>
          <w:rFonts w:ascii="Garamond" w:hAnsi="Garamond"/>
        </w:rPr>
        <w:t xml:space="preserve">è </w:t>
      </w:r>
      <w:r w:rsidR="000408DC" w:rsidRPr="007965CB">
        <w:rPr>
          <w:rFonts w:ascii="Garamond" w:hAnsi="Garamond"/>
        </w:rPr>
        <w:t>stata pubblicata online il 21/12/2018</w:t>
      </w:r>
      <w:r w:rsidR="000408DC">
        <w:rPr>
          <w:rFonts w:ascii="Garamond" w:hAnsi="Garamond"/>
        </w:rPr>
        <w:t>.</w:t>
      </w:r>
    </w:p>
    <w:p w14:paraId="3812ED29" w14:textId="4993CCBE" w:rsidR="00433EBC" w:rsidRPr="00D0084D" w:rsidRDefault="000408DC" w:rsidP="00B831DD">
      <w:pPr>
        <w:spacing w:after="0" w:line="360" w:lineRule="auto"/>
        <w:rPr>
          <w:rFonts w:ascii="Garamond" w:hAnsi="Garamond" w:cs="Times New Roman"/>
          <w:lang w:eastAsia="it-IT"/>
        </w:rPr>
      </w:pPr>
      <w:r>
        <w:rPr>
          <w:rFonts w:ascii="Garamond" w:hAnsi="Garamond"/>
        </w:rPr>
        <w:t xml:space="preserve">Nel corso del 2019 il Servizio informazione istituzionale ha </w:t>
      </w:r>
      <w:r w:rsidR="00433EBC">
        <w:rPr>
          <w:rFonts w:ascii="Garamond" w:hAnsi="Garamond"/>
        </w:rPr>
        <w:t>effettuato</w:t>
      </w:r>
      <w:r>
        <w:rPr>
          <w:rFonts w:ascii="Garamond" w:hAnsi="Garamond"/>
        </w:rPr>
        <w:t xml:space="preserve"> una revisione totale della struttura della Carta dei Servizi, che ora è online con </w:t>
      </w:r>
      <w:r w:rsidRPr="00D0084D">
        <w:rPr>
          <w:rFonts w:ascii="Garamond" w:hAnsi="Garamond"/>
        </w:rPr>
        <w:t>l</w:t>
      </w:r>
      <w:r w:rsidRPr="00D0084D">
        <w:rPr>
          <w:rFonts w:ascii="Garamond" w:hAnsi="Garamond" w:cs="Times New Roman"/>
          <w:lang w:eastAsia="it-IT"/>
        </w:rPr>
        <w:t xml:space="preserve">ink alla pagina: </w:t>
      </w:r>
      <w:hyperlink r:id="rId7" w:history="1">
        <w:r w:rsidRPr="00D0084D">
          <w:rPr>
            <w:rFonts w:ascii="Garamond" w:hAnsi="Garamond" w:cs="Times New Roman"/>
            <w:color w:val="0000FF"/>
            <w:u w:val="single"/>
            <w:lang w:eastAsia="it-IT"/>
          </w:rPr>
          <w:t>https://cartaservizi.unige.it/</w:t>
        </w:r>
      </w:hyperlink>
      <w:r w:rsidR="00433EBC" w:rsidRPr="00D0084D">
        <w:rPr>
          <w:rFonts w:ascii="Garamond" w:hAnsi="Garamond" w:cs="Times New Roman"/>
          <w:lang w:eastAsia="it-IT"/>
        </w:rPr>
        <w:t xml:space="preserve">, rendendone </w:t>
      </w:r>
      <w:r w:rsidRPr="00D0084D">
        <w:rPr>
          <w:rFonts w:ascii="Garamond" w:hAnsi="Garamond" w:cs="Times New Roman"/>
          <w:lang w:eastAsia="it-IT"/>
        </w:rPr>
        <w:t>più agevole la consultazione, la navigazione e l</w:t>
      </w:r>
      <w:r w:rsidR="0083235B">
        <w:rPr>
          <w:rFonts w:ascii="Garamond" w:hAnsi="Garamond" w:cs="Times New Roman"/>
          <w:lang w:eastAsia="it-IT"/>
        </w:rPr>
        <w:t>’</w:t>
      </w:r>
      <w:r w:rsidRPr="00D0084D">
        <w:rPr>
          <w:rFonts w:ascii="Garamond" w:hAnsi="Garamond" w:cs="Times New Roman"/>
          <w:lang w:eastAsia="it-IT"/>
        </w:rPr>
        <w:t xml:space="preserve">utilizzo da parte degli </w:t>
      </w:r>
      <w:r w:rsidRPr="00D0084D">
        <w:rPr>
          <w:rFonts w:ascii="Garamond" w:hAnsi="Garamond" w:cs="Times New Roman"/>
          <w:i/>
          <w:iCs/>
          <w:lang w:eastAsia="it-IT"/>
        </w:rPr>
        <w:t>stakeholder</w:t>
      </w:r>
      <w:r w:rsidRPr="00D0084D">
        <w:rPr>
          <w:rFonts w:ascii="Garamond" w:hAnsi="Garamond" w:cs="Times New Roman"/>
          <w:lang w:eastAsia="it-IT"/>
        </w:rPr>
        <w:t>, pur rispettando tutte le caratteristiche richieste dalla legge</w:t>
      </w:r>
      <w:r w:rsidR="00433EBC" w:rsidRPr="00D0084D">
        <w:rPr>
          <w:rFonts w:ascii="Garamond" w:hAnsi="Garamond" w:cs="Times New Roman"/>
          <w:lang w:eastAsia="it-IT"/>
        </w:rPr>
        <w:t>, con l</w:t>
      </w:r>
      <w:r w:rsidR="0083235B">
        <w:rPr>
          <w:rFonts w:ascii="Garamond" w:hAnsi="Garamond" w:cs="Times New Roman"/>
          <w:lang w:eastAsia="it-IT"/>
        </w:rPr>
        <w:t>’</w:t>
      </w:r>
      <w:r w:rsidR="00433EBC" w:rsidRPr="00D0084D">
        <w:rPr>
          <w:rFonts w:ascii="Garamond" w:hAnsi="Garamond" w:cs="Times New Roman"/>
          <w:lang w:eastAsia="it-IT"/>
        </w:rPr>
        <w:t>intento di renderla uno strumento di comunicazione più snello ed efficace.  Si è inoltre introdotto un menù orizzontale per rendere più accessibile la navigazione del sito e maggiormente individuabile il servizio di interesse</w:t>
      </w:r>
      <w:r w:rsidRPr="00D0084D">
        <w:rPr>
          <w:rFonts w:ascii="Garamond" w:hAnsi="Garamond" w:cs="Times New Roman"/>
          <w:lang w:eastAsia="it-IT"/>
        </w:rPr>
        <w:t xml:space="preserve">. </w:t>
      </w:r>
    </w:p>
    <w:p w14:paraId="492105C0" w14:textId="3220A4AA" w:rsidR="00433EBC" w:rsidRPr="00D0084D" w:rsidRDefault="00433EBC" w:rsidP="00B831DD">
      <w:pPr>
        <w:spacing w:after="0" w:line="360" w:lineRule="auto"/>
        <w:rPr>
          <w:rFonts w:ascii="Garamond" w:hAnsi="Garamond" w:cs="Times New Roman"/>
          <w:lang w:eastAsia="it-IT"/>
        </w:rPr>
      </w:pPr>
      <w:r w:rsidRPr="00D0084D">
        <w:rPr>
          <w:rFonts w:ascii="Garamond" w:hAnsi="Garamond" w:cs="Times New Roman"/>
          <w:lang w:eastAsia="it-IT"/>
        </w:rPr>
        <w:t xml:space="preserve">Le voci del </w:t>
      </w:r>
      <w:r w:rsidR="00D0084D" w:rsidRPr="00D0084D">
        <w:rPr>
          <w:rFonts w:ascii="Garamond" w:hAnsi="Garamond" w:cs="Times New Roman"/>
          <w:lang w:eastAsia="it-IT"/>
        </w:rPr>
        <w:t>menu</w:t>
      </w:r>
      <w:r w:rsidRPr="00D0084D">
        <w:rPr>
          <w:rFonts w:ascii="Garamond" w:hAnsi="Garamond" w:cs="Times New Roman"/>
          <w:lang w:eastAsia="it-IT"/>
        </w:rPr>
        <w:t xml:space="preserve"> corrispondono a una categoria di utenti o di servizi, all</w:t>
      </w:r>
      <w:r w:rsidR="0083235B">
        <w:rPr>
          <w:rFonts w:ascii="Garamond" w:hAnsi="Garamond" w:cs="Times New Roman"/>
          <w:lang w:eastAsia="it-IT"/>
        </w:rPr>
        <w:t>’</w:t>
      </w:r>
      <w:r w:rsidRPr="00D0084D">
        <w:rPr>
          <w:rFonts w:ascii="Garamond" w:hAnsi="Garamond" w:cs="Times New Roman"/>
          <w:lang w:eastAsia="it-IT"/>
        </w:rPr>
        <w:t xml:space="preserve">interno delle quali si trovano le singole schede corrispondenti contenenti altresì </w:t>
      </w:r>
    </w:p>
    <w:p w14:paraId="12E67803" w14:textId="16A54A24" w:rsidR="00AE4721" w:rsidRPr="00D0084D" w:rsidRDefault="00433EBC" w:rsidP="00433EBC">
      <w:pPr>
        <w:pStyle w:val="Paragrafoelenco"/>
        <w:numPr>
          <w:ilvl w:val="0"/>
          <w:numId w:val="3"/>
        </w:numPr>
        <w:spacing w:line="360" w:lineRule="auto"/>
        <w:rPr>
          <w:rFonts w:ascii="Garamond" w:hAnsi="Garamond" w:cs="Times New Roman"/>
          <w:lang w:eastAsia="it-IT"/>
        </w:rPr>
      </w:pPr>
      <w:r w:rsidRPr="00D0084D">
        <w:rPr>
          <w:rFonts w:ascii="Garamond" w:hAnsi="Garamond" w:cs="Times New Roman"/>
          <w:lang w:eastAsia="it-IT"/>
        </w:rPr>
        <w:t>l</w:t>
      </w:r>
      <w:r w:rsidR="0083235B">
        <w:rPr>
          <w:rFonts w:ascii="Garamond" w:hAnsi="Garamond" w:cs="Times New Roman"/>
          <w:lang w:eastAsia="it-IT"/>
        </w:rPr>
        <w:t>’</w:t>
      </w:r>
      <w:r w:rsidRPr="00D0084D">
        <w:rPr>
          <w:rFonts w:ascii="Garamond" w:hAnsi="Garamond" w:cs="Times New Roman"/>
          <w:lang w:eastAsia="it-IT"/>
        </w:rPr>
        <w:t>indicazione dell</w:t>
      </w:r>
      <w:r w:rsidR="0083235B">
        <w:rPr>
          <w:rFonts w:ascii="Garamond" w:hAnsi="Garamond" w:cs="Times New Roman"/>
          <w:lang w:eastAsia="it-IT"/>
        </w:rPr>
        <w:t>’</w:t>
      </w:r>
      <w:r w:rsidRPr="00D0084D">
        <w:rPr>
          <w:rFonts w:ascii="Garamond" w:hAnsi="Garamond" w:cs="Times New Roman"/>
          <w:lang w:eastAsia="it-IT"/>
        </w:rPr>
        <w:t>ufficio di riferimento per l</w:t>
      </w:r>
      <w:r w:rsidR="0083235B">
        <w:rPr>
          <w:rFonts w:ascii="Garamond" w:hAnsi="Garamond" w:cs="Times New Roman"/>
          <w:lang w:eastAsia="it-IT"/>
        </w:rPr>
        <w:t>’</w:t>
      </w:r>
      <w:r w:rsidRPr="00D0084D">
        <w:rPr>
          <w:rFonts w:ascii="Garamond" w:hAnsi="Garamond" w:cs="Times New Roman"/>
          <w:lang w:eastAsia="it-IT"/>
        </w:rPr>
        <w:t xml:space="preserve">attività con link alla Rubrica </w:t>
      </w:r>
      <w:proofErr w:type="spellStart"/>
      <w:r w:rsidRPr="00D0084D">
        <w:rPr>
          <w:rFonts w:ascii="Garamond" w:hAnsi="Garamond" w:cs="Times New Roman"/>
          <w:lang w:eastAsia="it-IT"/>
        </w:rPr>
        <w:t>UniGe</w:t>
      </w:r>
      <w:proofErr w:type="spellEnd"/>
      <w:r w:rsidRPr="00D0084D">
        <w:rPr>
          <w:rFonts w:ascii="Garamond" w:hAnsi="Garamond" w:cs="Times New Roman"/>
          <w:lang w:eastAsia="it-IT"/>
        </w:rPr>
        <w:t xml:space="preserve"> dove reperire i contatti della struttura</w:t>
      </w:r>
      <w:r w:rsidR="00BC278D">
        <w:rPr>
          <w:rFonts w:ascii="Garamond" w:hAnsi="Garamond" w:cs="Times New Roman"/>
          <w:lang w:eastAsia="it-IT"/>
        </w:rPr>
        <w:t>;</w:t>
      </w:r>
      <w:r w:rsidRPr="00D0084D">
        <w:rPr>
          <w:rFonts w:ascii="Garamond" w:hAnsi="Garamond" w:cs="Times New Roman"/>
          <w:lang w:eastAsia="it-IT"/>
        </w:rPr>
        <w:t xml:space="preserve"> </w:t>
      </w:r>
    </w:p>
    <w:p w14:paraId="2E96B5BA" w14:textId="524CE2FC" w:rsidR="00433EBC" w:rsidRPr="00D0084D" w:rsidRDefault="00433EBC" w:rsidP="00433EBC">
      <w:pPr>
        <w:pStyle w:val="Paragrafoelenco"/>
        <w:numPr>
          <w:ilvl w:val="0"/>
          <w:numId w:val="3"/>
        </w:numPr>
        <w:spacing w:line="360" w:lineRule="auto"/>
        <w:rPr>
          <w:rFonts w:ascii="Garamond" w:hAnsi="Garamond" w:cs="Times New Roman"/>
          <w:lang w:eastAsia="it-IT"/>
        </w:rPr>
      </w:pPr>
      <w:r w:rsidRPr="00D0084D">
        <w:rPr>
          <w:rFonts w:ascii="Garamond" w:hAnsi="Garamond" w:cs="Times New Roman"/>
          <w:lang w:eastAsia="it-IT"/>
        </w:rPr>
        <w:t>il nome del referente per l</w:t>
      </w:r>
      <w:r w:rsidR="0083235B">
        <w:rPr>
          <w:rFonts w:ascii="Garamond" w:hAnsi="Garamond" w:cs="Times New Roman"/>
          <w:lang w:eastAsia="it-IT"/>
        </w:rPr>
        <w:t>’</w:t>
      </w:r>
      <w:r w:rsidRPr="00D0084D">
        <w:rPr>
          <w:rFonts w:ascii="Garamond" w:hAnsi="Garamond" w:cs="Times New Roman"/>
          <w:lang w:eastAsia="it-IT"/>
        </w:rPr>
        <w:t>attività con link alla sua pagina personale</w:t>
      </w:r>
      <w:r w:rsidR="00BC278D">
        <w:rPr>
          <w:rFonts w:ascii="Garamond" w:hAnsi="Garamond" w:cs="Times New Roman"/>
          <w:lang w:eastAsia="it-IT"/>
        </w:rPr>
        <w:t>;</w:t>
      </w:r>
    </w:p>
    <w:p w14:paraId="66C6619B" w14:textId="77777777" w:rsidR="00433EBC" w:rsidRPr="00D0084D" w:rsidRDefault="00433EBC" w:rsidP="00433EBC">
      <w:pPr>
        <w:pStyle w:val="Paragrafoelenco"/>
        <w:numPr>
          <w:ilvl w:val="0"/>
          <w:numId w:val="3"/>
        </w:numPr>
        <w:spacing w:line="360" w:lineRule="auto"/>
        <w:rPr>
          <w:rFonts w:ascii="Garamond" w:hAnsi="Garamond" w:cs="Times New Roman"/>
          <w:lang w:eastAsia="it-IT"/>
        </w:rPr>
      </w:pPr>
      <w:r w:rsidRPr="00D0084D">
        <w:rPr>
          <w:rFonts w:ascii="Garamond" w:hAnsi="Garamond" w:cs="Times New Roman"/>
          <w:lang w:eastAsia="it-IT"/>
        </w:rPr>
        <w:t>una breve descrizione del servizio con altre informazioni quali numero di addetti, orari di apertura al pubblico, etc.</w:t>
      </w:r>
      <w:r w:rsidR="00BC278D">
        <w:rPr>
          <w:rFonts w:ascii="Garamond" w:hAnsi="Garamond" w:cs="Times New Roman"/>
          <w:lang w:eastAsia="it-IT"/>
        </w:rPr>
        <w:t>;</w:t>
      </w:r>
    </w:p>
    <w:p w14:paraId="639B6A9F" w14:textId="77777777" w:rsidR="00433EBC" w:rsidRPr="00D0084D" w:rsidRDefault="00433EBC" w:rsidP="00433EBC">
      <w:pPr>
        <w:pStyle w:val="Paragrafoelenco"/>
        <w:numPr>
          <w:ilvl w:val="0"/>
          <w:numId w:val="3"/>
        </w:numPr>
        <w:spacing w:line="360" w:lineRule="auto"/>
        <w:rPr>
          <w:rFonts w:ascii="Garamond" w:hAnsi="Garamond" w:cs="Times New Roman"/>
          <w:lang w:eastAsia="it-IT"/>
        </w:rPr>
      </w:pPr>
      <w:r w:rsidRPr="00D0084D">
        <w:rPr>
          <w:rFonts w:ascii="Garamond" w:hAnsi="Garamond" w:cs="Times New Roman"/>
          <w:lang w:eastAsia="it-IT"/>
        </w:rPr>
        <w:t>gli indicatori relativi agli standard di qualità presi in esame (accessibilità, tempestività, efficacia, trasparenza)</w:t>
      </w:r>
      <w:r w:rsidR="00BC278D">
        <w:rPr>
          <w:rFonts w:ascii="Garamond" w:hAnsi="Garamond" w:cs="Times New Roman"/>
          <w:lang w:eastAsia="it-IT"/>
        </w:rPr>
        <w:t>;</w:t>
      </w:r>
    </w:p>
    <w:p w14:paraId="5C564481" w14:textId="77777777" w:rsidR="00433EBC" w:rsidRPr="00D0084D" w:rsidRDefault="00433EBC" w:rsidP="00433EBC">
      <w:pPr>
        <w:pStyle w:val="Paragrafoelenco"/>
        <w:numPr>
          <w:ilvl w:val="0"/>
          <w:numId w:val="3"/>
        </w:numPr>
        <w:spacing w:line="360" w:lineRule="auto"/>
        <w:rPr>
          <w:rFonts w:ascii="Garamond" w:hAnsi="Garamond" w:cs="Times New Roman"/>
          <w:lang w:eastAsia="it-IT"/>
        </w:rPr>
      </w:pPr>
      <w:r w:rsidRPr="00D0084D">
        <w:rPr>
          <w:rFonts w:ascii="Garamond" w:hAnsi="Garamond" w:cs="Times New Roman"/>
          <w:lang w:eastAsia="it-IT"/>
        </w:rPr>
        <w:t>il numero dei reclami per anno e i contatti a cui rivolgersi per presentarli</w:t>
      </w:r>
      <w:r w:rsidR="00BC278D">
        <w:rPr>
          <w:rFonts w:ascii="Garamond" w:hAnsi="Garamond" w:cs="Times New Roman"/>
          <w:lang w:eastAsia="it-IT"/>
        </w:rPr>
        <w:t>;</w:t>
      </w:r>
    </w:p>
    <w:p w14:paraId="748EF488" w14:textId="7DB99181" w:rsidR="00433EBC" w:rsidRPr="00D0084D" w:rsidRDefault="00433EBC" w:rsidP="00302C1E">
      <w:pPr>
        <w:pStyle w:val="Paragrafoelenco"/>
        <w:numPr>
          <w:ilvl w:val="0"/>
          <w:numId w:val="3"/>
        </w:numPr>
        <w:spacing w:line="360" w:lineRule="auto"/>
        <w:rPr>
          <w:rFonts w:ascii="Garamond" w:hAnsi="Garamond" w:cs="Times New Roman"/>
          <w:lang w:eastAsia="it-IT"/>
        </w:rPr>
      </w:pPr>
      <w:r w:rsidRPr="00D0084D">
        <w:rPr>
          <w:rFonts w:ascii="Garamond" w:hAnsi="Garamond" w:cs="Times New Roman"/>
          <w:lang w:eastAsia="it-IT"/>
        </w:rPr>
        <w:t xml:space="preserve">eventuali risultati di indagini di </w:t>
      </w:r>
      <w:proofErr w:type="spellStart"/>
      <w:r w:rsidRPr="00D0084D">
        <w:rPr>
          <w:rFonts w:ascii="Garamond" w:hAnsi="Garamond" w:cs="Times New Roman"/>
          <w:lang w:eastAsia="it-IT"/>
        </w:rPr>
        <w:t>customer</w:t>
      </w:r>
      <w:proofErr w:type="spellEnd"/>
      <w:r w:rsidRPr="00D0084D">
        <w:rPr>
          <w:rFonts w:ascii="Garamond" w:hAnsi="Garamond" w:cs="Times New Roman"/>
          <w:lang w:eastAsia="it-IT"/>
        </w:rPr>
        <w:t xml:space="preserve"> </w:t>
      </w:r>
      <w:proofErr w:type="spellStart"/>
      <w:r w:rsidRPr="00D0084D">
        <w:rPr>
          <w:rFonts w:ascii="Garamond" w:hAnsi="Garamond" w:cs="Times New Roman"/>
          <w:lang w:eastAsia="it-IT"/>
        </w:rPr>
        <w:t>satisfaction</w:t>
      </w:r>
      <w:proofErr w:type="spellEnd"/>
      <w:r w:rsidRPr="00D0084D">
        <w:rPr>
          <w:rFonts w:ascii="Garamond" w:hAnsi="Garamond" w:cs="Times New Roman"/>
          <w:lang w:eastAsia="it-IT"/>
        </w:rPr>
        <w:t xml:space="preserve"> e altre informazioni che il gestore dell</w:t>
      </w:r>
      <w:r w:rsidR="0083235B">
        <w:rPr>
          <w:rFonts w:ascii="Garamond" w:hAnsi="Garamond" w:cs="Times New Roman"/>
          <w:lang w:eastAsia="it-IT"/>
        </w:rPr>
        <w:t>’</w:t>
      </w:r>
      <w:r w:rsidRPr="00D0084D">
        <w:rPr>
          <w:rFonts w:ascii="Garamond" w:hAnsi="Garamond" w:cs="Times New Roman"/>
          <w:lang w:eastAsia="it-IT"/>
        </w:rPr>
        <w:t>attività ha voluto fornire.</w:t>
      </w:r>
    </w:p>
    <w:p w14:paraId="2B480649" w14:textId="2A23215E" w:rsidR="00433EBC" w:rsidRPr="00D0084D" w:rsidRDefault="000408DC" w:rsidP="009E0C98">
      <w:pPr>
        <w:spacing w:line="360" w:lineRule="auto"/>
        <w:rPr>
          <w:rFonts w:ascii="Garamond" w:hAnsi="Garamond" w:cs="Times New Roman"/>
          <w:lang w:eastAsia="it-IT"/>
        </w:rPr>
      </w:pPr>
      <w:r w:rsidRPr="00D0084D">
        <w:rPr>
          <w:rFonts w:ascii="Garamond" w:hAnsi="Garamond" w:cs="Times New Roman"/>
          <w:lang w:eastAsia="it-IT"/>
        </w:rPr>
        <w:t>Essendo la Carta dei Servizi per sua natura uno strumento dinamico, i contenuti e il sito stesso saranno aggiornati e implementati durante tutto l</w:t>
      </w:r>
      <w:r w:rsidR="0083235B">
        <w:rPr>
          <w:rFonts w:ascii="Garamond" w:hAnsi="Garamond" w:cs="Times New Roman"/>
          <w:lang w:eastAsia="it-IT"/>
        </w:rPr>
        <w:t>’</w:t>
      </w:r>
      <w:r w:rsidRPr="00D0084D">
        <w:rPr>
          <w:rFonts w:ascii="Garamond" w:hAnsi="Garamond" w:cs="Times New Roman"/>
          <w:lang w:eastAsia="it-IT"/>
        </w:rPr>
        <w:t xml:space="preserve">anno. </w:t>
      </w:r>
    </w:p>
    <w:p w14:paraId="0525E22F" w14:textId="77777777" w:rsidR="00F27FE5" w:rsidRPr="007965CB" w:rsidRDefault="00F27FE5" w:rsidP="00433EBC">
      <w:pPr>
        <w:spacing w:line="360" w:lineRule="auto"/>
        <w:ind w:left="360"/>
        <w:rPr>
          <w:rFonts w:ascii="Garamond" w:hAnsi="Garamond"/>
        </w:rPr>
      </w:pPr>
    </w:p>
    <w:p w14:paraId="1962D960" w14:textId="5E1A13E1" w:rsidR="00F27FE5" w:rsidRPr="001E2A5C" w:rsidRDefault="00F27FE5" w:rsidP="00F27FE5">
      <w:pPr>
        <w:spacing w:line="360" w:lineRule="auto"/>
        <w:rPr>
          <w:rFonts w:ascii="Garamond" w:hAnsi="Garamond"/>
        </w:rPr>
      </w:pPr>
      <w:r w:rsidRPr="001E2A5C">
        <w:rPr>
          <w:rFonts w:ascii="Garamond" w:hAnsi="Garamond"/>
        </w:rPr>
        <w:t>In conclusione, anche a fronte di quanto dichiarato dal Responsabile della Prevenzione della Corruzione e della</w:t>
      </w:r>
      <w:r>
        <w:rPr>
          <w:rFonts w:ascii="Garamond" w:hAnsi="Garamond"/>
        </w:rPr>
        <w:t xml:space="preserve"> Trasparenza</w:t>
      </w:r>
      <w:r w:rsidRPr="001E2A5C">
        <w:rPr>
          <w:rFonts w:ascii="Garamond" w:hAnsi="Garamond"/>
        </w:rPr>
        <w:t>, l</w:t>
      </w:r>
      <w:r w:rsidR="0083235B">
        <w:rPr>
          <w:rFonts w:ascii="Garamond" w:hAnsi="Garamond"/>
        </w:rPr>
        <w:t>’</w:t>
      </w:r>
      <w:r w:rsidRPr="001E2A5C">
        <w:rPr>
          <w:rFonts w:ascii="Garamond" w:hAnsi="Garamond"/>
        </w:rPr>
        <w:t>OIV ritiene che l</w:t>
      </w:r>
      <w:r w:rsidR="0083235B">
        <w:rPr>
          <w:rFonts w:ascii="Garamond" w:hAnsi="Garamond"/>
        </w:rPr>
        <w:t>’</w:t>
      </w:r>
      <w:r w:rsidRPr="001E2A5C">
        <w:rPr>
          <w:rFonts w:ascii="Garamond" w:hAnsi="Garamond"/>
        </w:rPr>
        <w:t>Amministrazione abbia provved</w:t>
      </w:r>
      <w:r>
        <w:rPr>
          <w:rFonts w:ascii="Garamond" w:hAnsi="Garamond"/>
        </w:rPr>
        <w:t>uto</w:t>
      </w:r>
      <w:r w:rsidRPr="001E2A5C">
        <w:rPr>
          <w:rFonts w:ascii="Garamond" w:hAnsi="Garamond"/>
        </w:rPr>
        <w:t xml:space="preserve"> ad adempiere agli obblighi di trasparenza </w:t>
      </w:r>
      <w:r>
        <w:rPr>
          <w:rFonts w:ascii="Garamond" w:hAnsi="Garamond"/>
        </w:rPr>
        <w:t xml:space="preserve">imposti dalla normativa </w:t>
      </w:r>
      <w:r w:rsidRPr="001E2A5C">
        <w:rPr>
          <w:rFonts w:ascii="Garamond" w:hAnsi="Garamond"/>
        </w:rPr>
        <w:t>in modo tempestivo e attento. Considera inoltre che il Responsabile della Prevenzione della Corruzione e della</w:t>
      </w:r>
      <w:r>
        <w:rPr>
          <w:rFonts w:ascii="Garamond" w:hAnsi="Garamond"/>
        </w:rPr>
        <w:t xml:space="preserve"> Trasparenza</w:t>
      </w:r>
      <w:r w:rsidRPr="001E2A5C">
        <w:rPr>
          <w:rFonts w:ascii="Garamond" w:hAnsi="Garamond"/>
        </w:rPr>
        <w:t xml:space="preserve"> abbia assolto compiutamente al ruolo prescritto dalla norma, svolgendo una scrupolosa attività di monitoraggio, impulso e assistenza ai fini dell</w:t>
      </w:r>
      <w:r w:rsidR="0083235B">
        <w:rPr>
          <w:rFonts w:ascii="Garamond" w:hAnsi="Garamond"/>
        </w:rPr>
        <w:t>’</w:t>
      </w:r>
      <w:r w:rsidRPr="001E2A5C">
        <w:rPr>
          <w:rFonts w:ascii="Garamond" w:hAnsi="Garamond"/>
        </w:rPr>
        <w:t xml:space="preserve">implementazione </w:t>
      </w:r>
      <w:r>
        <w:rPr>
          <w:rFonts w:ascii="Garamond" w:hAnsi="Garamond"/>
        </w:rPr>
        <w:t>e dell</w:t>
      </w:r>
      <w:r w:rsidR="0083235B">
        <w:rPr>
          <w:rFonts w:ascii="Garamond" w:hAnsi="Garamond"/>
        </w:rPr>
        <w:t>’</w:t>
      </w:r>
      <w:r>
        <w:rPr>
          <w:rFonts w:ascii="Garamond" w:hAnsi="Garamond"/>
        </w:rPr>
        <w:t xml:space="preserve">aggiornamento </w:t>
      </w:r>
      <w:r w:rsidRPr="001E2A5C">
        <w:rPr>
          <w:rFonts w:ascii="Garamond" w:hAnsi="Garamond"/>
        </w:rPr>
        <w:t>della sezione Amministrazione Trasparente.</w:t>
      </w:r>
    </w:p>
    <w:p w14:paraId="003A097A" w14:textId="77777777" w:rsidR="00C27B23" w:rsidRDefault="00C27B23">
      <w:pPr>
        <w:spacing w:line="360" w:lineRule="auto"/>
        <w:rPr>
          <w:rFonts w:ascii="Garamond" w:hAnsi="Garamond"/>
          <w:b/>
          <w:u w:val="single"/>
        </w:rPr>
      </w:pPr>
    </w:p>
    <w:p w14:paraId="4D8A3961" w14:textId="77777777" w:rsidR="008A0378" w:rsidRPr="009C6FAC" w:rsidRDefault="008A0378">
      <w:pPr>
        <w:spacing w:line="360" w:lineRule="auto"/>
        <w:rPr>
          <w:rFonts w:ascii="Garamond" w:hAnsi="Garamond"/>
          <w:b/>
          <w:u w:val="single"/>
        </w:rPr>
      </w:pPr>
    </w:p>
    <w:p w14:paraId="4AC81096" w14:textId="77777777"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sectPr w:rsidR="00C27B23" w:rsidRPr="009C6F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80395" w14:textId="77777777" w:rsidR="00290974" w:rsidRDefault="00290974">
      <w:pPr>
        <w:spacing w:after="0" w:line="240" w:lineRule="auto"/>
      </w:pPr>
      <w:r>
        <w:separator/>
      </w:r>
    </w:p>
  </w:endnote>
  <w:endnote w:type="continuationSeparator" w:id="0">
    <w:p w14:paraId="364957A8" w14:textId="77777777" w:rsidR="00290974" w:rsidRDefault="00290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AACA4" w14:textId="77777777" w:rsidR="00C32BE7" w:rsidRDefault="00C32BE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EE50C" w14:textId="77777777" w:rsidR="00C32BE7" w:rsidRDefault="00C32BE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F9604" w14:textId="77777777" w:rsidR="00C32BE7" w:rsidRDefault="00C32BE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7CE09" w14:textId="77777777" w:rsidR="00290974" w:rsidRDefault="00290974">
      <w:pPr>
        <w:spacing w:after="0" w:line="240" w:lineRule="auto"/>
      </w:pPr>
      <w:r>
        <w:separator/>
      </w:r>
    </w:p>
  </w:footnote>
  <w:footnote w:type="continuationSeparator" w:id="0">
    <w:p w14:paraId="7757F807" w14:textId="77777777" w:rsidR="00290974" w:rsidRDefault="00290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B8084" w14:textId="77777777" w:rsidR="00C32BE7" w:rsidRDefault="00C32BE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61A4A" w14:textId="77777777" w:rsidR="00C27B23" w:rsidRPr="006E496C" w:rsidRDefault="0048249A" w:rsidP="006E496C">
    <w:pPr>
      <w:pStyle w:val="Intestazione"/>
      <w:jc w:val="right"/>
      <w:rPr>
        <w:rFonts w:ascii="Garamond" w:hAnsi="Garamond" w:cs="Times New Roman"/>
        <w:b/>
      </w:rPr>
    </w:pPr>
    <w:r w:rsidRPr="006E496C">
      <w:rPr>
        <w:rFonts w:ascii="Garamond" w:hAnsi="Garamond"/>
        <w:b/>
      </w:rPr>
      <w:t xml:space="preserve">Allegato 3 alla </w:t>
    </w:r>
    <w:r w:rsidRPr="006E496C">
      <w:rPr>
        <w:rFonts w:ascii="Garamond" w:hAnsi="Garamond" w:cs="Times New Roman"/>
        <w:b/>
      </w:rPr>
      <w:t>delibera</w:t>
    </w:r>
    <w:r w:rsidR="004833D5">
      <w:rPr>
        <w:rFonts w:ascii="Garamond" w:hAnsi="Garamond" w:cs="Times New Roman"/>
        <w:b/>
      </w:rPr>
      <w:t xml:space="preserve"> ANAC</w:t>
    </w:r>
    <w:r w:rsidRPr="006E496C">
      <w:rPr>
        <w:rFonts w:ascii="Garamond" w:hAnsi="Garamond" w:cs="Times New Roman"/>
        <w:b/>
      </w:rPr>
      <w:t xml:space="preserve"> n. </w:t>
    </w:r>
    <w:r w:rsidR="00C32BE7">
      <w:rPr>
        <w:rFonts w:ascii="Garamond" w:hAnsi="Garamond" w:cs="Times New Roman"/>
        <w:b/>
      </w:rPr>
      <w:t>213</w:t>
    </w:r>
    <w:r w:rsidRPr="006E496C">
      <w:rPr>
        <w:rFonts w:ascii="Garamond" w:hAnsi="Garamond" w:cs="Times New Roman"/>
        <w:b/>
      </w:rPr>
      <w:t>/</w:t>
    </w:r>
    <w:r w:rsidR="009C05D1">
      <w:rPr>
        <w:rFonts w:ascii="Garamond" w:hAnsi="Garamond" w:cs="Times New Roman"/>
        <w:b/>
      </w:rPr>
      <w:t>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C87E2" w14:textId="77777777" w:rsidR="00C32BE7" w:rsidRDefault="00C32BE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7507E"/>
    <w:multiLevelType w:val="hybridMultilevel"/>
    <w:tmpl w:val="E23800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2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9C83BCF"/>
    <w:multiLevelType w:val="hybridMultilevel"/>
    <w:tmpl w:val="C3A06E9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23"/>
    <w:rsid w:val="00033AF4"/>
    <w:rsid w:val="000408DC"/>
    <w:rsid w:val="000807AC"/>
    <w:rsid w:val="00147F27"/>
    <w:rsid w:val="0016468A"/>
    <w:rsid w:val="0024134D"/>
    <w:rsid w:val="00290974"/>
    <w:rsid w:val="002C572E"/>
    <w:rsid w:val="002D0B9B"/>
    <w:rsid w:val="003102BE"/>
    <w:rsid w:val="00344101"/>
    <w:rsid w:val="003E1CF5"/>
    <w:rsid w:val="003F1D03"/>
    <w:rsid w:val="00433EBC"/>
    <w:rsid w:val="00466809"/>
    <w:rsid w:val="0048249A"/>
    <w:rsid w:val="004833D5"/>
    <w:rsid w:val="004F18CD"/>
    <w:rsid w:val="004F49BA"/>
    <w:rsid w:val="004F578F"/>
    <w:rsid w:val="005147F9"/>
    <w:rsid w:val="00586D82"/>
    <w:rsid w:val="0060106A"/>
    <w:rsid w:val="006E496C"/>
    <w:rsid w:val="007052EA"/>
    <w:rsid w:val="00713BFD"/>
    <w:rsid w:val="007A107C"/>
    <w:rsid w:val="0083235B"/>
    <w:rsid w:val="00837860"/>
    <w:rsid w:val="00861FE1"/>
    <w:rsid w:val="008A0378"/>
    <w:rsid w:val="008F4300"/>
    <w:rsid w:val="00955140"/>
    <w:rsid w:val="009732CB"/>
    <w:rsid w:val="009968FB"/>
    <w:rsid w:val="009A5646"/>
    <w:rsid w:val="009C05D1"/>
    <w:rsid w:val="009C6FAC"/>
    <w:rsid w:val="009E0C98"/>
    <w:rsid w:val="00A52DF7"/>
    <w:rsid w:val="00A91363"/>
    <w:rsid w:val="00AE4721"/>
    <w:rsid w:val="00AF790D"/>
    <w:rsid w:val="00B23C97"/>
    <w:rsid w:val="00B831DD"/>
    <w:rsid w:val="00BC278D"/>
    <w:rsid w:val="00C27B23"/>
    <w:rsid w:val="00C32BE7"/>
    <w:rsid w:val="00D0084D"/>
    <w:rsid w:val="00D27496"/>
    <w:rsid w:val="00D667F5"/>
    <w:rsid w:val="00EA5A7B"/>
    <w:rsid w:val="00F27FE5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5E16F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586D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5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cartaservizi.unige.it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1122</Words>
  <Characters>6397</Characters>
  <Application>Microsoft Office Word</Application>
  <DocSecurity>4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Paola Lovisolo</cp:lastModifiedBy>
  <cp:revision>2</cp:revision>
  <cp:lastPrinted>2018-02-28T15:30:00Z</cp:lastPrinted>
  <dcterms:created xsi:type="dcterms:W3CDTF">2020-07-14T06:03:00Z</dcterms:created>
  <dcterms:modified xsi:type="dcterms:W3CDTF">2020-07-14T06:03:00Z</dcterms:modified>
</cp:coreProperties>
</file>